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C9" w:rsidRDefault="00C34FC9" w:rsidP="00C34FC9">
      <w:pPr>
        <w:jc w:val="right"/>
        <w:rPr>
          <w:rFonts w:ascii="Arial" w:hAnsi="Arial" w:cs="Arial"/>
          <w:b/>
        </w:rPr>
      </w:pPr>
      <w:r>
        <w:rPr>
          <w:rFonts w:ascii="Arial" w:hAnsi="Arial" w:cs="Arial"/>
          <w:b/>
        </w:rPr>
        <w:t>Appendix 3</w:t>
      </w:r>
    </w:p>
    <w:p w:rsidR="00237BA3" w:rsidRPr="000D499C" w:rsidRDefault="00237BA3" w:rsidP="00237BA3">
      <w:pPr>
        <w:jc w:val="both"/>
        <w:rPr>
          <w:rFonts w:ascii="Arial" w:hAnsi="Arial" w:cs="Arial"/>
          <w:b/>
        </w:rPr>
      </w:pPr>
      <w:r w:rsidRPr="000D499C">
        <w:rPr>
          <w:rFonts w:ascii="Arial" w:hAnsi="Arial" w:cs="Arial"/>
          <w:b/>
        </w:rPr>
        <w:t>Council Tax</w:t>
      </w:r>
    </w:p>
    <w:p w:rsidR="00237BA3" w:rsidRDefault="00237BA3" w:rsidP="00A6724C">
      <w:pPr>
        <w:pStyle w:val="BodyText3"/>
        <w:ind w:right="-99"/>
        <w:jc w:val="left"/>
        <w:rPr>
          <w:lang w:val="en-US"/>
        </w:rPr>
      </w:pPr>
      <w:r>
        <w:rPr>
          <w:lang w:val="en-US"/>
        </w:rPr>
        <w:t xml:space="preserve">Currently, bad debt provisions (BDP) </w:t>
      </w:r>
      <w:r w:rsidRPr="00D813D3">
        <w:rPr>
          <w:lang w:val="en-US"/>
        </w:rPr>
        <w:t>of £</w:t>
      </w:r>
      <w:r w:rsidR="00C317DF" w:rsidRPr="00D813D3">
        <w:rPr>
          <w:lang w:val="en-US"/>
        </w:rPr>
        <w:t>4</w:t>
      </w:r>
      <w:r w:rsidR="00784E32" w:rsidRPr="00D813D3">
        <w:rPr>
          <w:lang w:val="en-US"/>
        </w:rPr>
        <w:t>.</w:t>
      </w:r>
      <w:r w:rsidR="009F2600">
        <w:rPr>
          <w:lang w:val="en-US"/>
        </w:rPr>
        <w:t>856</w:t>
      </w:r>
      <w:r w:rsidR="003A06AD" w:rsidRPr="00D813D3">
        <w:rPr>
          <w:lang w:val="en-US"/>
        </w:rPr>
        <w:t>m</w:t>
      </w:r>
      <w:r w:rsidR="003A06AD" w:rsidRPr="00B87680">
        <w:rPr>
          <w:lang w:val="en-US"/>
        </w:rPr>
        <w:t xml:space="preserve"> exist</w:t>
      </w:r>
      <w:r w:rsidRPr="00B87680">
        <w:rPr>
          <w:lang w:val="en-US"/>
        </w:rPr>
        <w:t xml:space="preserve"> </w:t>
      </w:r>
      <w:r w:rsidR="00012AD3" w:rsidRPr="00750E63">
        <w:rPr>
          <w:b/>
          <w:lang w:val="en-US"/>
        </w:rPr>
        <w:t>[£</w:t>
      </w:r>
      <w:r w:rsidR="00893774">
        <w:rPr>
          <w:b/>
          <w:lang w:val="en-US"/>
        </w:rPr>
        <w:t>5.03</w:t>
      </w:r>
      <w:r w:rsidR="003161CE" w:rsidRPr="00750E63">
        <w:rPr>
          <w:b/>
          <w:lang w:val="en-US"/>
        </w:rPr>
        <w:t>m</w:t>
      </w:r>
      <w:r w:rsidR="00012AD3" w:rsidRPr="00D813D3">
        <w:rPr>
          <w:lang w:val="en-US"/>
        </w:rPr>
        <w:t xml:space="preserve">- </w:t>
      </w:r>
      <w:r w:rsidR="007F61F4" w:rsidRPr="00D813D3">
        <w:rPr>
          <w:lang w:val="en-US"/>
        </w:rPr>
        <w:t>£0.</w:t>
      </w:r>
      <w:r w:rsidR="009F2600">
        <w:rPr>
          <w:lang w:val="en-US"/>
        </w:rPr>
        <w:t>174</w:t>
      </w:r>
      <w:r w:rsidR="00B10996" w:rsidRPr="00D813D3">
        <w:rPr>
          <w:lang w:val="en-US"/>
        </w:rPr>
        <w:t>k</w:t>
      </w:r>
      <w:r w:rsidR="00D0422F">
        <w:rPr>
          <w:lang w:val="en-US"/>
        </w:rPr>
        <w:t xml:space="preserve">; </w:t>
      </w:r>
      <w:r w:rsidR="00012AD3">
        <w:rPr>
          <w:lang w:val="en-US"/>
        </w:rPr>
        <w:t xml:space="preserve">w/offs </w:t>
      </w:r>
      <w:r w:rsidR="00D0422F">
        <w:rPr>
          <w:lang w:val="en-US"/>
        </w:rPr>
        <w:t>done 0</w:t>
      </w:r>
      <w:r w:rsidR="00012AD3">
        <w:rPr>
          <w:lang w:val="en-US"/>
        </w:rPr>
        <w:t>1/</w:t>
      </w:r>
      <w:r w:rsidR="00D0422F">
        <w:rPr>
          <w:lang w:val="en-US"/>
        </w:rPr>
        <w:t>0</w:t>
      </w:r>
      <w:r w:rsidR="00012AD3">
        <w:rPr>
          <w:lang w:val="en-US"/>
        </w:rPr>
        <w:t>4/</w:t>
      </w:r>
      <w:r w:rsidR="0088086F">
        <w:rPr>
          <w:lang w:val="en-US"/>
        </w:rPr>
        <w:t>1</w:t>
      </w:r>
      <w:r w:rsidR="00893774">
        <w:rPr>
          <w:lang w:val="en-US"/>
        </w:rPr>
        <w:t>5</w:t>
      </w:r>
      <w:r w:rsidR="00012AD3">
        <w:rPr>
          <w:lang w:val="en-US"/>
        </w:rPr>
        <w:t>-</w:t>
      </w:r>
      <w:r w:rsidR="00D0422F">
        <w:rPr>
          <w:lang w:val="en-US"/>
        </w:rPr>
        <w:t>3</w:t>
      </w:r>
      <w:r w:rsidR="00893774">
        <w:rPr>
          <w:lang w:val="en-US"/>
        </w:rPr>
        <w:t>0</w:t>
      </w:r>
      <w:r w:rsidR="00012AD3">
        <w:rPr>
          <w:lang w:val="en-US"/>
        </w:rPr>
        <w:t>/</w:t>
      </w:r>
      <w:r w:rsidR="00893774">
        <w:rPr>
          <w:lang w:val="en-US"/>
        </w:rPr>
        <w:t>0</w:t>
      </w:r>
      <w:r w:rsidR="00F61B46">
        <w:rPr>
          <w:lang w:val="en-US"/>
        </w:rPr>
        <w:t>9</w:t>
      </w:r>
      <w:r w:rsidR="00012AD3">
        <w:rPr>
          <w:lang w:val="en-US"/>
        </w:rPr>
        <w:t>/</w:t>
      </w:r>
      <w:r w:rsidR="0088086F">
        <w:rPr>
          <w:lang w:val="en-US"/>
        </w:rPr>
        <w:t>1</w:t>
      </w:r>
      <w:r w:rsidR="00893774">
        <w:rPr>
          <w:lang w:val="en-US"/>
        </w:rPr>
        <w:t>5</w:t>
      </w:r>
      <w:r w:rsidR="00012AD3">
        <w:rPr>
          <w:lang w:val="en-US"/>
        </w:rPr>
        <w:t xml:space="preserve">] </w:t>
      </w:r>
      <w:r>
        <w:rPr>
          <w:lang w:val="en-US"/>
        </w:rPr>
        <w:t xml:space="preserve">for Council Tax against a potential BDP </w:t>
      </w:r>
      <w:r w:rsidRPr="00414DD5">
        <w:rPr>
          <w:lang w:val="en-US"/>
        </w:rPr>
        <w:t xml:space="preserve">of </w:t>
      </w:r>
      <w:r w:rsidRPr="00D46403">
        <w:rPr>
          <w:lang w:val="en-US"/>
        </w:rPr>
        <w:t>£</w:t>
      </w:r>
      <w:r w:rsidR="009F2600">
        <w:rPr>
          <w:lang w:val="en-US"/>
        </w:rPr>
        <w:t>3</w:t>
      </w:r>
      <w:r w:rsidR="00784E32" w:rsidRPr="00D46403">
        <w:rPr>
          <w:lang w:val="en-US"/>
        </w:rPr>
        <w:t>.</w:t>
      </w:r>
      <w:r w:rsidR="009F2600">
        <w:rPr>
          <w:lang w:val="en-US"/>
        </w:rPr>
        <w:t>782</w:t>
      </w:r>
      <w:r w:rsidR="00784E32" w:rsidRPr="00D46403">
        <w:rPr>
          <w:lang w:val="en-US"/>
        </w:rPr>
        <w:t>m</w:t>
      </w:r>
      <w:r w:rsidRPr="00B87680">
        <w:rPr>
          <w:lang w:val="en-US"/>
        </w:rPr>
        <w:t xml:space="preserve"> f</w:t>
      </w:r>
      <w:r>
        <w:rPr>
          <w:lang w:val="en-US"/>
        </w:rPr>
        <w:t>or debts accrued to 31 March 20</w:t>
      </w:r>
      <w:r w:rsidR="000537DB">
        <w:rPr>
          <w:lang w:val="en-US"/>
        </w:rPr>
        <w:t>1</w:t>
      </w:r>
      <w:r w:rsidR="00720213">
        <w:rPr>
          <w:lang w:val="en-US"/>
        </w:rPr>
        <w:t>5</w:t>
      </w:r>
      <w:r>
        <w:rPr>
          <w:lang w:val="en-US"/>
        </w:rPr>
        <w:t xml:space="preserve">. </w:t>
      </w:r>
    </w:p>
    <w:p w:rsidR="00E04727" w:rsidRDefault="00E04727" w:rsidP="007D2A81">
      <w:pPr>
        <w:pStyle w:val="BodyText3"/>
        <w:ind w:right="-720"/>
        <w:jc w:val="left"/>
        <w:rPr>
          <w:lang w:val="en-US"/>
        </w:rPr>
      </w:pPr>
    </w:p>
    <w:tbl>
      <w:tblPr>
        <w:tblW w:w="9545" w:type="dxa"/>
        <w:tblInd w:w="103" w:type="dxa"/>
        <w:tblLayout w:type="fixed"/>
        <w:tblLook w:val="0000" w:firstRow="0" w:lastRow="0" w:firstColumn="0" w:lastColumn="0" w:noHBand="0" w:noVBand="0"/>
      </w:tblPr>
      <w:tblGrid>
        <w:gridCol w:w="3425"/>
        <w:gridCol w:w="1440"/>
        <w:gridCol w:w="1620"/>
        <w:gridCol w:w="1260"/>
        <w:gridCol w:w="1800"/>
      </w:tblGrid>
      <w:tr w:rsidR="00012AD3" w:rsidRPr="007D2A81">
        <w:trPr>
          <w:trHeight w:val="591"/>
        </w:trPr>
        <w:tc>
          <w:tcPr>
            <w:tcW w:w="3425" w:type="dxa"/>
            <w:tcBorders>
              <w:top w:val="single" w:sz="4" w:space="0" w:color="auto"/>
              <w:left w:val="single" w:sz="4" w:space="0" w:color="auto"/>
              <w:bottom w:val="single" w:sz="4" w:space="0" w:color="auto"/>
              <w:right w:val="single" w:sz="4" w:space="0" w:color="auto"/>
            </w:tcBorders>
            <w:noWrap/>
          </w:tcPr>
          <w:p w:rsidR="00012AD3" w:rsidRPr="007D2A81" w:rsidRDefault="00012AD3" w:rsidP="00237BA3">
            <w:pPr>
              <w:rPr>
                <w:rFonts w:ascii="Arial" w:hAnsi="Arial" w:cs="Arial"/>
                <w:b/>
                <w:sz w:val="20"/>
                <w:szCs w:val="20"/>
              </w:rPr>
            </w:pPr>
            <w:r w:rsidRPr="007D2A81">
              <w:rPr>
                <w:rFonts w:ascii="Arial" w:hAnsi="Arial" w:cs="Arial"/>
                <w:b/>
                <w:sz w:val="20"/>
                <w:szCs w:val="20"/>
              </w:rPr>
              <w:t>COUNCIL TAX</w:t>
            </w:r>
          </w:p>
          <w:p w:rsidR="00012AD3" w:rsidRPr="007D2A81" w:rsidRDefault="00012AD3" w:rsidP="00237BA3">
            <w:pPr>
              <w:rPr>
                <w:rFonts w:ascii="Arial" w:hAnsi="Arial" w:cs="Arial"/>
                <w:b/>
                <w:sz w:val="20"/>
                <w:szCs w:val="20"/>
              </w:rPr>
            </w:pPr>
          </w:p>
        </w:tc>
        <w:tc>
          <w:tcPr>
            <w:tcW w:w="1440" w:type="dxa"/>
            <w:tcBorders>
              <w:top w:val="single" w:sz="4" w:space="0" w:color="auto"/>
              <w:left w:val="nil"/>
              <w:bottom w:val="single" w:sz="4" w:space="0" w:color="auto"/>
              <w:right w:val="nil"/>
            </w:tcBorders>
          </w:tcPr>
          <w:p w:rsidR="00012AD3" w:rsidRPr="007D2A81" w:rsidRDefault="00012AD3" w:rsidP="008B0899">
            <w:pPr>
              <w:ind w:right="-108"/>
              <w:jc w:val="center"/>
              <w:rPr>
                <w:rFonts w:ascii="Arial" w:hAnsi="Arial" w:cs="Arial"/>
                <w:sz w:val="20"/>
                <w:szCs w:val="20"/>
              </w:rPr>
            </w:pPr>
            <w:r w:rsidRPr="007D2A81">
              <w:rPr>
                <w:rFonts w:ascii="Arial" w:hAnsi="Arial" w:cs="Arial"/>
                <w:sz w:val="20"/>
                <w:szCs w:val="20"/>
              </w:rPr>
              <w:t xml:space="preserve">Arrears as at </w:t>
            </w:r>
            <w:r w:rsidR="00D577F3" w:rsidRPr="007D2A81">
              <w:rPr>
                <w:rFonts w:ascii="Arial" w:hAnsi="Arial" w:cs="Arial"/>
                <w:sz w:val="20"/>
                <w:szCs w:val="20"/>
              </w:rPr>
              <w:t>1</w:t>
            </w:r>
            <w:r w:rsidR="00D577F3" w:rsidRPr="007D2A81">
              <w:rPr>
                <w:rFonts w:ascii="Arial" w:hAnsi="Arial" w:cs="Arial"/>
                <w:sz w:val="20"/>
                <w:szCs w:val="20"/>
                <w:vertAlign w:val="superscript"/>
              </w:rPr>
              <w:t>st</w:t>
            </w:r>
            <w:r w:rsidR="00D577F3" w:rsidRPr="007D2A81">
              <w:rPr>
                <w:rFonts w:ascii="Arial" w:hAnsi="Arial" w:cs="Arial"/>
                <w:sz w:val="20"/>
                <w:szCs w:val="20"/>
              </w:rPr>
              <w:t xml:space="preserve"> of April</w:t>
            </w:r>
          </w:p>
        </w:tc>
        <w:tc>
          <w:tcPr>
            <w:tcW w:w="1620" w:type="dxa"/>
            <w:tcBorders>
              <w:top w:val="single" w:sz="4" w:space="0" w:color="auto"/>
              <w:left w:val="nil"/>
              <w:bottom w:val="single" w:sz="4" w:space="0" w:color="auto"/>
              <w:right w:val="single" w:sz="4" w:space="0" w:color="auto"/>
            </w:tcBorders>
          </w:tcPr>
          <w:p w:rsidR="00012AD3" w:rsidRPr="007D2A81" w:rsidRDefault="00012AD3" w:rsidP="00720213">
            <w:pPr>
              <w:jc w:val="center"/>
              <w:rPr>
                <w:rFonts w:ascii="Arial" w:hAnsi="Arial" w:cs="Arial"/>
                <w:sz w:val="20"/>
                <w:szCs w:val="20"/>
              </w:rPr>
            </w:pPr>
            <w:r w:rsidRPr="007D2A81">
              <w:rPr>
                <w:rFonts w:ascii="Arial" w:hAnsi="Arial" w:cs="Arial"/>
                <w:sz w:val="20"/>
                <w:szCs w:val="20"/>
              </w:rPr>
              <w:t xml:space="preserve">Arrears as at </w:t>
            </w:r>
            <w:r w:rsidR="008B0899" w:rsidRPr="007D2A81">
              <w:rPr>
                <w:rFonts w:ascii="Arial" w:hAnsi="Arial" w:cs="Arial"/>
                <w:sz w:val="20"/>
                <w:szCs w:val="20"/>
              </w:rPr>
              <w:t xml:space="preserve">Qtr </w:t>
            </w:r>
            <w:r w:rsidR="00F61B46">
              <w:rPr>
                <w:rFonts w:ascii="Arial" w:hAnsi="Arial" w:cs="Arial"/>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12AD3" w:rsidRPr="007D2A81" w:rsidRDefault="00012AD3" w:rsidP="00237BA3">
            <w:pPr>
              <w:jc w:val="center"/>
              <w:rPr>
                <w:rFonts w:ascii="Arial" w:hAnsi="Arial" w:cs="Arial"/>
                <w:sz w:val="20"/>
                <w:szCs w:val="20"/>
              </w:rPr>
            </w:pPr>
            <w:r w:rsidRPr="007D2A81">
              <w:rPr>
                <w:rFonts w:ascii="Arial" w:hAnsi="Arial" w:cs="Arial"/>
                <w:sz w:val="20"/>
                <w:szCs w:val="20"/>
              </w:rPr>
              <w:t xml:space="preserve">BDP </w:t>
            </w:r>
          </w:p>
        </w:tc>
        <w:tc>
          <w:tcPr>
            <w:tcW w:w="1800" w:type="dxa"/>
            <w:tcBorders>
              <w:top w:val="single" w:sz="4" w:space="0" w:color="auto"/>
              <w:left w:val="single" w:sz="4" w:space="0" w:color="auto"/>
              <w:bottom w:val="single" w:sz="4" w:space="0" w:color="auto"/>
              <w:right w:val="single" w:sz="4" w:space="0" w:color="auto"/>
            </w:tcBorders>
          </w:tcPr>
          <w:p w:rsidR="00012AD3" w:rsidRPr="007D2A81" w:rsidRDefault="007D2A81" w:rsidP="00720213">
            <w:pPr>
              <w:rPr>
                <w:rFonts w:ascii="Arial" w:hAnsi="Arial" w:cs="Arial"/>
                <w:sz w:val="20"/>
                <w:szCs w:val="20"/>
              </w:rPr>
            </w:pPr>
            <w:r>
              <w:rPr>
                <w:rFonts w:ascii="Arial" w:hAnsi="Arial" w:cs="Arial"/>
                <w:b/>
                <w:sz w:val="20"/>
                <w:szCs w:val="20"/>
              </w:rPr>
              <w:t xml:space="preserve">BDP </w:t>
            </w:r>
            <w:r w:rsidR="008B0899" w:rsidRPr="007D2A81">
              <w:rPr>
                <w:rFonts w:ascii="Arial" w:hAnsi="Arial" w:cs="Arial"/>
                <w:b/>
                <w:sz w:val="20"/>
                <w:szCs w:val="20"/>
              </w:rPr>
              <w:t xml:space="preserve">as at Qtr </w:t>
            </w:r>
            <w:r w:rsidR="00F61B46">
              <w:rPr>
                <w:rFonts w:ascii="Arial" w:hAnsi="Arial" w:cs="Arial"/>
                <w:b/>
                <w:sz w:val="20"/>
                <w:szCs w:val="20"/>
              </w:rPr>
              <w:t>2</w:t>
            </w:r>
          </w:p>
        </w:tc>
      </w:tr>
      <w:tr w:rsidR="00012AD3">
        <w:trPr>
          <w:trHeight w:val="170"/>
        </w:trPr>
        <w:tc>
          <w:tcPr>
            <w:tcW w:w="3425" w:type="dxa"/>
            <w:tcBorders>
              <w:top w:val="nil"/>
              <w:left w:val="single" w:sz="4" w:space="0" w:color="auto"/>
              <w:bottom w:val="single" w:sz="4" w:space="0" w:color="auto"/>
              <w:right w:val="single" w:sz="4" w:space="0" w:color="auto"/>
            </w:tcBorders>
            <w:noWrap/>
            <w:vAlign w:val="bottom"/>
          </w:tcPr>
          <w:p w:rsidR="00012AD3" w:rsidRDefault="00012AD3" w:rsidP="00237BA3">
            <w:pPr>
              <w:rPr>
                <w:rFonts w:ascii="Arial" w:hAnsi="Arial" w:cs="Arial"/>
              </w:rPr>
            </w:pPr>
          </w:p>
        </w:tc>
        <w:tc>
          <w:tcPr>
            <w:tcW w:w="1440" w:type="dxa"/>
            <w:tcBorders>
              <w:top w:val="nil"/>
              <w:left w:val="nil"/>
              <w:bottom w:val="single" w:sz="4" w:space="0" w:color="auto"/>
              <w:right w:val="nil"/>
            </w:tcBorders>
            <w:vAlign w:val="bottom"/>
          </w:tcPr>
          <w:p w:rsidR="00012AD3" w:rsidRDefault="00012AD3" w:rsidP="00237BA3">
            <w:pPr>
              <w:jc w:val="center"/>
              <w:rPr>
                <w:rFonts w:ascii="Arial" w:hAnsi="Arial" w:cs="Arial"/>
              </w:rPr>
            </w:pPr>
            <w:r>
              <w:rPr>
                <w:rFonts w:ascii="Arial" w:hAnsi="Arial" w:cs="Arial"/>
              </w:rPr>
              <w:t>£000</w:t>
            </w:r>
          </w:p>
        </w:tc>
        <w:tc>
          <w:tcPr>
            <w:tcW w:w="1620" w:type="dxa"/>
            <w:tcBorders>
              <w:top w:val="single" w:sz="4" w:space="0" w:color="auto"/>
              <w:left w:val="nil"/>
              <w:bottom w:val="single" w:sz="4" w:space="0" w:color="auto"/>
              <w:right w:val="single" w:sz="4" w:space="0" w:color="auto"/>
            </w:tcBorders>
            <w:vAlign w:val="bottom"/>
          </w:tcPr>
          <w:p w:rsidR="00012AD3" w:rsidRDefault="00012AD3" w:rsidP="00237BA3">
            <w:pPr>
              <w:jc w:val="center"/>
              <w:rPr>
                <w:rFonts w:ascii="Arial" w:hAnsi="Arial" w:cs="Arial"/>
              </w:rPr>
            </w:pPr>
            <w:r>
              <w:rPr>
                <w:rFonts w:ascii="Arial" w:hAnsi="Arial" w:cs="Arial"/>
              </w:rPr>
              <w:t>£000</w:t>
            </w:r>
          </w:p>
        </w:tc>
        <w:tc>
          <w:tcPr>
            <w:tcW w:w="1260" w:type="dxa"/>
            <w:tcBorders>
              <w:top w:val="nil"/>
              <w:left w:val="single" w:sz="4" w:space="0" w:color="auto"/>
              <w:bottom w:val="single" w:sz="4" w:space="0" w:color="auto"/>
              <w:right w:val="single" w:sz="4" w:space="0" w:color="auto"/>
            </w:tcBorders>
            <w:vAlign w:val="bottom"/>
          </w:tcPr>
          <w:p w:rsidR="00012AD3" w:rsidRDefault="00012AD3" w:rsidP="00237BA3">
            <w:pPr>
              <w:jc w:val="center"/>
              <w:rPr>
                <w:rFonts w:ascii="Arial" w:hAnsi="Arial" w:cs="Arial"/>
              </w:rPr>
            </w:pPr>
            <w:r>
              <w:rPr>
                <w:rFonts w:ascii="Arial" w:hAnsi="Arial" w:cs="Arial"/>
              </w:rPr>
              <w:t>%</w:t>
            </w:r>
          </w:p>
        </w:tc>
        <w:tc>
          <w:tcPr>
            <w:tcW w:w="1800" w:type="dxa"/>
            <w:tcBorders>
              <w:top w:val="single" w:sz="4" w:space="0" w:color="auto"/>
              <w:left w:val="nil"/>
              <w:bottom w:val="single" w:sz="4" w:space="0" w:color="auto"/>
              <w:right w:val="single" w:sz="4" w:space="0" w:color="auto"/>
            </w:tcBorders>
            <w:vAlign w:val="bottom"/>
          </w:tcPr>
          <w:p w:rsidR="00012AD3" w:rsidRDefault="00012AD3" w:rsidP="00161DF2">
            <w:pPr>
              <w:jc w:val="center"/>
              <w:rPr>
                <w:rFonts w:ascii="Arial" w:hAnsi="Arial" w:cs="Arial"/>
              </w:rPr>
            </w:pPr>
            <w:r>
              <w:rPr>
                <w:rFonts w:ascii="Arial" w:hAnsi="Arial" w:cs="Arial"/>
              </w:rPr>
              <w:t>£000</w:t>
            </w:r>
          </w:p>
        </w:tc>
      </w:tr>
      <w:tr w:rsidR="00012AD3">
        <w:trPr>
          <w:trHeight w:val="170"/>
        </w:trPr>
        <w:tc>
          <w:tcPr>
            <w:tcW w:w="3425" w:type="dxa"/>
            <w:tcBorders>
              <w:top w:val="nil"/>
              <w:left w:val="single" w:sz="4" w:space="0" w:color="auto"/>
              <w:bottom w:val="single" w:sz="4" w:space="0" w:color="auto"/>
              <w:right w:val="single" w:sz="4" w:space="0" w:color="auto"/>
            </w:tcBorders>
            <w:noWrap/>
            <w:vAlign w:val="bottom"/>
          </w:tcPr>
          <w:p w:rsidR="00012AD3" w:rsidRDefault="000E0EB9" w:rsidP="00213DA5">
            <w:pPr>
              <w:rPr>
                <w:rFonts w:ascii="Arial" w:hAnsi="Arial" w:cs="Arial"/>
              </w:rPr>
            </w:pPr>
            <w:r>
              <w:rPr>
                <w:rFonts w:ascii="Arial" w:hAnsi="Arial" w:cs="Arial"/>
              </w:rPr>
              <w:t xml:space="preserve">Pre </w:t>
            </w:r>
            <w:r w:rsidR="004E28E0">
              <w:rPr>
                <w:rFonts w:ascii="Arial" w:hAnsi="Arial" w:cs="Arial"/>
              </w:rPr>
              <w:t>200</w:t>
            </w:r>
            <w:r w:rsidR="00213DA5">
              <w:rPr>
                <w:rFonts w:ascii="Arial" w:hAnsi="Arial" w:cs="Arial"/>
              </w:rPr>
              <w:t>8</w:t>
            </w:r>
            <w:r w:rsidR="004E28E0">
              <w:rPr>
                <w:rFonts w:ascii="Arial" w:hAnsi="Arial" w:cs="Arial"/>
              </w:rPr>
              <w:t>-20</w:t>
            </w:r>
            <w:r w:rsidR="00B10996">
              <w:rPr>
                <w:rFonts w:ascii="Arial" w:hAnsi="Arial" w:cs="Arial"/>
              </w:rPr>
              <w:t>1</w:t>
            </w:r>
            <w:r w:rsidR="00213DA5">
              <w:rPr>
                <w:rFonts w:ascii="Arial" w:hAnsi="Arial" w:cs="Arial"/>
              </w:rPr>
              <w:t>9</w:t>
            </w:r>
            <w:r w:rsidR="00012AD3">
              <w:rPr>
                <w:rFonts w:ascii="Arial" w:hAnsi="Arial" w:cs="Arial"/>
              </w:rPr>
              <w:t xml:space="preserve"> </w:t>
            </w:r>
          </w:p>
        </w:tc>
        <w:tc>
          <w:tcPr>
            <w:tcW w:w="1440" w:type="dxa"/>
            <w:tcBorders>
              <w:top w:val="nil"/>
              <w:left w:val="nil"/>
              <w:bottom w:val="single" w:sz="4" w:space="0" w:color="auto"/>
              <w:right w:val="nil"/>
            </w:tcBorders>
            <w:shd w:val="clear" w:color="auto" w:fill="C0C0C0"/>
          </w:tcPr>
          <w:p w:rsidR="00012AD3" w:rsidRDefault="0033280F" w:rsidP="007D6CEF">
            <w:pPr>
              <w:jc w:val="right"/>
              <w:rPr>
                <w:rFonts w:ascii="Arial" w:hAnsi="Arial" w:cs="Arial"/>
              </w:rPr>
            </w:pPr>
            <w:r>
              <w:rPr>
                <w:rFonts w:ascii="Arial" w:hAnsi="Arial" w:cs="Arial"/>
              </w:rPr>
              <w:t>395</w:t>
            </w:r>
          </w:p>
        </w:tc>
        <w:tc>
          <w:tcPr>
            <w:tcW w:w="1620" w:type="dxa"/>
            <w:tcBorders>
              <w:top w:val="single" w:sz="4" w:space="0" w:color="auto"/>
              <w:left w:val="nil"/>
              <w:bottom w:val="single" w:sz="4" w:space="0" w:color="auto"/>
              <w:right w:val="single" w:sz="4" w:space="0" w:color="auto"/>
            </w:tcBorders>
          </w:tcPr>
          <w:p w:rsidR="00012AD3" w:rsidRDefault="00C44C1D" w:rsidP="009F2600">
            <w:pPr>
              <w:jc w:val="right"/>
              <w:rPr>
                <w:rFonts w:ascii="Arial" w:hAnsi="Arial" w:cs="Arial"/>
              </w:rPr>
            </w:pPr>
            <w:r>
              <w:rPr>
                <w:rFonts w:ascii="Arial" w:hAnsi="Arial" w:cs="Arial"/>
              </w:rPr>
              <w:t>2</w:t>
            </w:r>
            <w:r w:rsidR="009F2600">
              <w:rPr>
                <w:rFonts w:ascii="Arial" w:hAnsi="Arial" w:cs="Arial"/>
              </w:rPr>
              <w:t>77</w:t>
            </w:r>
          </w:p>
        </w:tc>
        <w:tc>
          <w:tcPr>
            <w:tcW w:w="1260" w:type="dxa"/>
            <w:tcBorders>
              <w:top w:val="nil"/>
              <w:left w:val="single" w:sz="4" w:space="0" w:color="auto"/>
              <w:bottom w:val="single" w:sz="4" w:space="0" w:color="auto"/>
              <w:right w:val="single" w:sz="4" w:space="0" w:color="auto"/>
            </w:tcBorders>
          </w:tcPr>
          <w:p w:rsidR="00012AD3" w:rsidRDefault="00012AD3" w:rsidP="00237BA3">
            <w:pPr>
              <w:jc w:val="right"/>
              <w:rPr>
                <w:rFonts w:ascii="Arial" w:hAnsi="Arial" w:cs="Arial"/>
              </w:rPr>
            </w:pPr>
            <w:r>
              <w:rPr>
                <w:rFonts w:ascii="Arial" w:hAnsi="Arial" w:cs="Arial"/>
              </w:rPr>
              <w:t>100</w:t>
            </w:r>
          </w:p>
        </w:tc>
        <w:tc>
          <w:tcPr>
            <w:tcW w:w="1800" w:type="dxa"/>
            <w:tcBorders>
              <w:top w:val="single" w:sz="4" w:space="0" w:color="auto"/>
              <w:left w:val="nil"/>
              <w:bottom w:val="single" w:sz="4" w:space="0" w:color="auto"/>
              <w:right w:val="single" w:sz="4" w:space="0" w:color="auto"/>
            </w:tcBorders>
          </w:tcPr>
          <w:p w:rsidR="00012AD3" w:rsidRDefault="00C44C1D" w:rsidP="009F2600">
            <w:pPr>
              <w:jc w:val="right"/>
              <w:rPr>
                <w:rFonts w:ascii="Arial" w:hAnsi="Arial" w:cs="Arial"/>
              </w:rPr>
            </w:pPr>
            <w:r>
              <w:rPr>
                <w:rFonts w:ascii="Arial" w:hAnsi="Arial" w:cs="Arial"/>
              </w:rPr>
              <w:t>2</w:t>
            </w:r>
            <w:r w:rsidR="009F2600">
              <w:rPr>
                <w:rFonts w:ascii="Arial" w:hAnsi="Arial" w:cs="Arial"/>
              </w:rPr>
              <w:t>77</w:t>
            </w:r>
          </w:p>
        </w:tc>
      </w:tr>
      <w:tr w:rsidR="00012AD3">
        <w:trPr>
          <w:trHeight w:val="255"/>
        </w:trPr>
        <w:tc>
          <w:tcPr>
            <w:tcW w:w="3425" w:type="dxa"/>
            <w:tcBorders>
              <w:top w:val="nil"/>
              <w:left w:val="single" w:sz="4" w:space="0" w:color="auto"/>
              <w:bottom w:val="single" w:sz="4" w:space="0" w:color="auto"/>
              <w:right w:val="single" w:sz="4" w:space="0" w:color="auto"/>
            </w:tcBorders>
            <w:noWrap/>
            <w:vAlign w:val="bottom"/>
          </w:tcPr>
          <w:p w:rsidR="00012AD3" w:rsidRDefault="004E28E0" w:rsidP="00213DA5">
            <w:pPr>
              <w:rPr>
                <w:rFonts w:ascii="Arial" w:hAnsi="Arial" w:cs="Arial"/>
              </w:rPr>
            </w:pPr>
            <w:r>
              <w:rPr>
                <w:rFonts w:ascii="Arial" w:hAnsi="Arial" w:cs="Arial"/>
              </w:rPr>
              <w:t>20</w:t>
            </w:r>
            <w:r w:rsidR="00213DA5">
              <w:rPr>
                <w:rFonts w:ascii="Arial" w:hAnsi="Arial" w:cs="Arial"/>
              </w:rPr>
              <w:t>10</w:t>
            </w:r>
            <w:r>
              <w:rPr>
                <w:rFonts w:ascii="Arial" w:hAnsi="Arial" w:cs="Arial"/>
              </w:rPr>
              <w:t>-20</w:t>
            </w:r>
            <w:r w:rsidR="00B10996">
              <w:rPr>
                <w:rFonts w:ascii="Arial" w:hAnsi="Arial" w:cs="Arial"/>
              </w:rPr>
              <w:t>1</w:t>
            </w:r>
            <w:r w:rsidR="00213DA5">
              <w:rPr>
                <w:rFonts w:ascii="Arial" w:hAnsi="Arial" w:cs="Arial"/>
              </w:rPr>
              <w:t>1</w:t>
            </w:r>
            <w:r w:rsidR="00012AD3">
              <w:rPr>
                <w:rFonts w:ascii="Arial" w:hAnsi="Arial" w:cs="Arial"/>
              </w:rPr>
              <w:t xml:space="preserve"> </w:t>
            </w:r>
          </w:p>
        </w:tc>
        <w:tc>
          <w:tcPr>
            <w:tcW w:w="1440" w:type="dxa"/>
            <w:tcBorders>
              <w:top w:val="nil"/>
              <w:left w:val="nil"/>
              <w:bottom w:val="single" w:sz="4" w:space="0" w:color="auto"/>
              <w:right w:val="nil"/>
            </w:tcBorders>
            <w:shd w:val="clear" w:color="auto" w:fill="C0C0C0"/>
          </w:tcPr>
          <w:p w:rsidR="00012AD3" w:rsidRDefault="0033280F" w:rsidP="0033280F">
            <w:pPr>
              <w:jc w:val="right"/>
              <w:rPr>
                <w:rFonts w:ascii="Arial" w:hAnsi="Arial" w:cs="Arial"/>
              </w:rPr>
            </w:pPr>
            <w:r>
              <w:rPr>
                <w:rFonts w:ascii="Arial" w:hAnsi="Arial" w:cs="Arial"/>
              </w:rPr>
              <w:t>422</w:t>
            </w:r>
          </w:p>
        </w:tc>
        <w:tc>
          <w:tcPr>
            <w:tcW w:w="1620" w:type="dxa"/>
            <w:tcBorders>
              <w:top w:val="single" w:sz="4" w:space="0" w:color="auto"/>
              <w:left w:val="nil"/>
              <w:bottom w:val="single" w:sz="4" w:space="0" w:color="auto"/>
              <w:right w:val="single" w:sz="4" w:space="0" w:color="auto"/>
            </w:tcBorders>
          </w:tcPr>
          <w:p w:rsidR="00012AD3" w:rsidRDefault="00C44C1D" w:rsidP="009F2600">
            <w:pPr>
              <w:jc w:val="right"/>
              <w:rPr>
                <w:rFonts w:ascii="Arial" w:hAnsi="Arial" w:cs="Arial"/>
              </w:rPr>
            </w:pPr>
            <w:r>
              <w:rPr>
                <w:rFonts w:ascii="Arial" w:hAnsi="Arial" w:cs="Arial"/>
              </w:rPr>
              <w:t>3</w:t>
            </w:r>
            <w:r w:rsidR="009F2600">
              <w:rPr>
                <w:rFonts w:ascii="Arial" w:hAnsi="Arial" w:cs="Arial"/>
              </w:rPr>
              <w:t>37</w:t>
            </w:r>
          </w:p>
        </w:tc>
        <w:tc>
          <w:tcPr>
            <w:tcW w:w="1260" w:type="dxa"/>
            <w:tcBorders>
              <w:top w:val="nil"/>
              <w:left w:val="single" w:sz="4" w:space="0" w:color="auto"/>
              <w:bottom w:val="single" w:sz="4" w:space="0" w:color="auto"/>
              <w:right w:val="single" w:sz="4" w:space="0" w:color="auto"/>
            </w:tcBorders>
          </w:tcPr>
          <w:p w:rsidR="00012AD3" w:rsidRDefault="00D813D3" w:rsidP="00D813D3">
            <w:pPr>
              <w:jc w:val="right"/>
              <w:rPr>
                <w:rFonts w:ascii="Arial" w:hAnsi="Arial" w:cs="Arial"/>
              </w:rPr>
            </w:pPr>
            <w:r>
              <w:rPr>
                <w:rFonts w:ascii="Arial" w:hAnsi="Arial" w:cs="Arial"/>
              </w:rPr>
              <w:t>100</w:t>
            </w:r>
          </w:p>
        </w:tc>
        <w:tc>
          <w:tcPr>
            <w:tcW w:w="1800" w:type="dxa"/>
            <w:tcBorders>
              <w:top w:val="single" w:sz="4" w:space="0" w:color="auto"/>
              <w:left w:val="nil"/>
              <w:bottom w:val="single" w:sz="4" w:space="0" w:color="auto"/>
              <w:right w:val="single" w:sz="4" w:space="0" w:color="auto"/>
            </w:tcBorders>
          </w:tcPr>
          <w:p w:rsidR="00012AD3" w:rsidRDefault="00C44C1D" w:rsidP="009F2600">
            <w:pPr>
              <w:jc w:val="right"/>
              <w:rPr>
                <w:rFonts w:ascii="Arial" w:hAnsi="Arial" w:cs="Arial"/>
              </w:rPr>
            </w:pPr>
            <w:r>
              <w:rPr>
                <w:rFonts w:ascii="Arial" w:hAnsi="Arial" w:cs="Arial"/>
              </w:rPr>
              <w:t>3</w:t>
            </w:r>
            <w:r w:rsidR="009F2600">
              <w:rPr>
                <w:rFonts w:ascii="Arial" w:hAnsi="Arial" w:cs="Arial"/>
              </w:rPr>
              <w:t>3</w:t>
            </w:r>
            <w:r>
              <w:rPr>
                <w:rFonts w:ascii="Arial" w:hAnsi="Arial" w:cs="Arial"/>
              </w:rPr>
              <w:t>7</w:t>
            </w:r>
          </w:p>
        </w:tc>
      </w:tr>
      <w:tr w:rsidR="00012AD3">
        <w:trPr>
          <w:trHeight w:val="255"/>
        </w:trPr>
        <w:tc>
          <w:tcPr>
            <w:tcW w:w="3425" w:type="dxa"/>
            <w:tcBorders>
              <w:top w:val="nil"/>
              <w:left w:val="single" w:sz="4" w:space="0" w:color="auto"/>
              <w:bottom w:val="single" w:sz="4" w:space="0" w:color="auto"/>
              <w:right w:val="single" w:sz="4" w:space="0" w:color="auto"/>
            </w:tcBorders>
            <w:noWrap/>
            <w:vAlign w:val="bottom"/>
          </w:tcPr>
          <w:p w:rsidR="00012AD3" w:rsidRDefault="004E28E0" w:rsidP="00213DA5">
            <w:pPr>
              <w:rPr>
                <w:rFonts w:ascii="Arial" w:hAnsi="Arial" w:cs="Arial"/>
              </w:rPr>
            </w:pPr>
            <w:r>
              <w:rPr>
                <w:rFonts w:ascii="Arial" w:hAnsi="Arial" w:cs="Arial"/>
              </w:rPr>
              <w:t>20</w:t>
            </w:r>
            <w:r w:rsidR="00B10996">
              <w:rPr>
                <w:rFonts w:ascii="Arial" w:hAnsi="Arial" w:cs="Arial"/>
              </w:rPr>
              <w:t>1</w:t>
            </w:r>
            <w:r w:rsidR="00213DA5">
              <w:rPr>
                <w:rFonts w:ascii="Arial" w:hAnsi="Arial" w:cs="Arial"/>
              </w:rPr>
              <w:t>1</w:t>
            </w:r>
            <w:r>
              <w:rPr>
                <w:rFonts w:ascii="Arial" w:hAnsi="Arial" w:cs="Arial"/>
              </w:rPr>
              <w:t>-20</w:t>
            </w:r>
            <w:r w:rsidR="00237418">
              <w:rPr>
                <w:rFonts w:ascii="Arial" w:hAnsi="Arial" w:cs="Arial"/>
              </w:rPr>
              <w:t>1</w:t>
            </w:r>
            <w:r w:rsidR="00213DA5">
              <w:rPr>
                <w:rFonts w:ascii="Arial" w:hAnsi="Arial" w:cs="Arial"/>
              </w:rPr>
              <w:t>2</w:t>
            </w:r>
            <w:r w:rsidR="00012AD3">
              <w:rPr>
                <w:rFonts w:ascii="Arial" w:hAnsi="Arial" w:cs="Arial"/>
              </w:rPr>
              <w:t xml:space="preserve"> </w:t>
            </w:r>
          </w:p>
        </w:tc>
        <w:tc>
          <w:tcPr>
            <w:tcW w:w="1440" w:type="dxa"/>
            <w:tcBorders>
              <w:top w:val="nil"/>
              <w:left w:val="nil"/>
              <w:bottom w:val="single" w:sz="4" w:space="0" w:color="auto"/>
              <w:right w:val="nil"/>
            </w:tcBorders>
            <w:shd w:val="clear" w:color="auto" w:fill="C0C0C0"/>
          </w:tcPr>
          <w:p w:rsidR="00012AD3" w:rsidRDefault="0033280F" w:rsidP="0033280F">
            <w:pPr>
              <w:jc w:val="right"/>
              <w:rPr>
                <w:rFonts w:ascii="Arial" w:hAnsi="Arial" w:cs="Arial"/>
              </w:rPr>
            </w:pPr>
            <w:r>
              <w:rPr>
                <w:rFonts w:ascii="Arial" w:hAnsi="Arial" w:cs="Arial"/>
              </w:rPr>
              <w:t>556</w:t>
            </w:r>
          </w:p>
        </w:tc>
        <w:tc>
          <w:tcPr>
            <w:tcW w:w="1620" w:type="dxa"/>
            <w:tcBorders>
              <w:top w:val="single" w:sz="4" w:space="0" w:color="auto"/>
              <w:left w:val="nil"/>
              <w:bottom w:val="single" w:sz="4" w:space="0" w:color="auto"/>
              <w:right w:val="single" w:sz="4" w:space="0" w:color="auto"/>
            </w:tcBorders>
          </w:tcPr>
          <w:p w:rsidR="00012AD3" w:rsidRDefault="00C44C1D" w:rsidP="009F2600">
            <w:pPr>
              <w:jc w:val="right"/>
              <w:rPr>
                <w:rFonts w:ascii="Arial" w:hAnsi="Arial" w:cs="Arial"/>
              </w:rPr>
            </w:pPr>
            <w:r>
              <w:rPr>
                <w:rFonts w:ascii="Arial" w:hAnsi="Arial" w:cs="Arial"/>
              </w:rPr>
              <w:t>4</w:t>
            </w:r>
            <w:r w:rsidR="009F2600">
              <w:rPr>
                <w:rFonts w:ascii="Arial" w:hAnsi="Arial" w:cs="Arial"/>
              </w:rPr>
              <w:t>37</w:t>
            </w:r>
          </w:p>
        </w:tc>
        <w:tc>
          <w:tcPr>
            <w:tcW w:w="1260" w:type="dxa"/>
            <w:tcBorders>
              <w:top w:val="nil"/>
              <w:left w:val="single" w:sz="4" w:space="0" w:color="auto"/>
              <w:bottom w:val="single" w:sz="4" w:space="0" w:color="auto"/>
              <w:right w:val="single" w:sz="4" w:space="0" w:color="auto"/>
            </w:tcBorders>
          </w:tcPr>
          <w:p w:rsidR="00012AD3" w:rsidRDefault="00A6126B" w:rsidP="00A6126B">
            <w:pPr>
              <w:jc w:val="right"/>
              <w:rPr>
                <w:rFonts w:ascii="Arial" w:hAnsi="Arial" w:cs="Arial"/>
              </w:rPr>
            </w:pPr>
            <w:r>
              <w:rPr>
                <w:rFonts w:ascii="Arial" w:hAnsi="Arial" w:cs="Arial"/>
              </w:rPr>
              <w:t>100</w:t>
            </w:r>
          </w:p>
        </w:tc>
        <w:tc>
          <w:tcPr>
            <w:tcW w:w="1800" w:type="dxa"/>
            <w:tcBorders>
              <w:top w:val="single" w:sz="4" w:space="0" w:color="auto"/>
              <w:left w:val="nil"/>
              <w:bottom w:val="single" w:sz="4" w:space="0" w:color="auto"/>
              <w:right w:val="single" w:sz="4" w:space="0" w:color="auto"/>
            </w:tcBorders>
          </w:tcPr>
          <w:p w:rsidR="00012AD3" w:rsidRDefault="00C44C1D" w:rsidP="009F2600">
            <w:pPr>
              <w:jc w:val="right"/>
              <w:rPr>
                <w:rFonts w:ascii="Arial" w:hAnsi="Arial" w:cs="Arial"/>
              </w:rPr>
            </w:pPr>
            <w:r>
              <w:rPr>
                <w:rFonts w:ascii="Arial" w:hAnsi="Arial" w:cs="Arial"/>
              </w:rPr>
              <w:t>4</w:t>
            </w:r>
            <w:r w:rsidR="009F2600">
              <w:rPr>
                <w:rFonts w:ascii="Arial" w:hAnsi="Arial" w:cs="Arial"/>
              </w:rPr>
              <w:t>37</w:t>
            </w:r>
          </w:p>
        </w:tc>
      </w:tr>
      <w:tr w:rsidR="00012AD3">
        <w:trPr>
          <w:trHeight w:val="255"/>
        </w:trPr>
        <w:tc>
          <w:tcPr>
            <w:tcW w:w="3425" w:type="dxa"/>
            <w:tcBorders>
              <w:top w:val="nil"/>
              <w:left w:val="single" w:sz="4" w:space="0" w:color="auto"/>
              <w:bottom w:val="single" w:sz="4" w:space="0" w:color="auto"/>
              <w:right w:val="single" w:sz="4" w:space="0" w:color="auto"/>
            </w:tcBorders>
            <w:noWrap/>
            <w:vAlign w:val="bottom"/>
          </w:tcPr>
          <w:p w:rsidR="00012AD3" w:rsidRDefault="004E28E0" w:rsidP="00213DA5">
            <w:pPr>
              <w:rPr>
                <w:rFonts w:ascii="Arial" w:hAnsi="Arial" w:cs="Arial"/>
              </w:rPr>
            </w:pPr>
            <w:r>
              <w:rPr>
                <w:rFonts w:ascii="Arial" w:hAnsi="Arial" w:cs="Arial"/>
              </w:rPr>
              <w:t>20</w:t>
            </w:r>
            <w:r w:rsidR="00237418">
              <w:rPr>
                <w:rFonts w:ascii="Arial" w:hAnsi="Arial" w:cs="Arial"/>
              </w:rPr>
              <w:t>1</w:t>
            </w:r>
            <w:r w:rsidR="00213DA5">
              <w:rPr>
                <w:rFonts w:ascii="Arial" w:hAnsi="Arial" w:cs="Arial"/>
              </w:rPr>
              <w:t>2</w:t>
            </w:r>
            <w:r>
              <w:rPr>
                <w:rFonts w:ascii="Arial" w:hAnsi="Arial" w:cs="Arial"/>
              </w:rPr>
              <w:t>-201</w:t>
            </w:r>
            <w:r w:rsidR="00213DA5">
              <w:rPr>
                <w:rFonts w:ascii="Arial" w:hAnsi="Arial" w:cs="Arial"/>
              </w:rPr>
              <w:t>3</w:t>
            </w:r>
            <w:r w:rsidR="00012AD3">
              <w:rPr>
                <w:rFonts w:ascii="Arial" w:hAnsi="Arial" w:cs="Arial"/>
              </w:rPr>
              <w:t xml:space="preserve"> </w:t>
            </w:r>
          </w:p>
        </w:tc>
        <w:tc>
          <w:tcPr>
            <w:tcW w:w="1440" w:type="dxa"/>
            <w:tcBorders>
              <w:top w:val="nil"/>
              <w:left w:val="nil"/>
              <w:bottom w:val="single" w:sz="4" w:space="0" w:color="auto"/>
              <w:right w:val="nil"/>
            </w:tcBorders>
            <w:shd w:val="clear" w:color="auto" w:fill="C0C0C0"/>
          </w:tcPr>
          <w:p w:rsidR="00012AD3" w:rsidRDefault="0033280F" w:rsidP="007D6CEF">
            <w:pPr>
              <w:jc w:val="right"/>
              <w:rPr>
                <w:rFonts w:ascii="Arial" w:hAnsi="Arial" w:cs="Arial"/>
              </w:rPr>
            </w:pPr>
            <w:r>
              <w:rPr>
                <w:rFonts w:ascii="Arial" w:hAnsi="Arial" w:cs="Arial"/>
              </w:rPr>
              <w:t>744</w:t>
            </w:r>
          </w:p>
        </w:tc>
        <w:tc>
          <w:tcPr>
            <w:tcW w:w="1620" w:type="dxa"/>
            <w:tcBorders>
              <w:top w:val="single" w:sz="4" w:space="0" w:color="auto"/>
              <w:left w:val="nil"/>
              <w:bottom w:val="single" w:sz="4" w:space="0" w:color="auto"/>
              <w:right w:val="single" w:sz="4" w:space="0" w:color="auto"/>
            </w:tcBorders>
          </w:tcPr>
          <w:p w:rsidR="00012AD3" w:rsidRDefault="00C44C1D" w:rsidP="009F2600">
            <w:pPr>
              <w:jc w:val="right"/>
              <w:rPr>
                <w:rFonts w:ascii="Arial" w:hAnsi="Arial" w:cs="Arial"/>
              </w:rPr>
            </w:pPr>
            <w:r>
              <w:rPr>
                <w:rFonts w:ascii="Arial" w:hAnsi="Arial" w:cs="Arial"/>
              </w:rPr>
              <w:t>6</w:t>
            </w:r>
            <w:r w:rsidR="009F2600">
              <w:rPr>
                <w:rFonts w:ascii="Arial" w:hAnsi="Arial" w:cs="Arial"/>
              </w:rPr>
              <w:t>02</w:t>
            </w:r>
          </w:p>
        </w:tc>
        <w:tc>
          <w:tcPr>
            <w:tcW w:w="1260" w:type="dxa"/>
            <w:tcBorders>
              <w:top w:val="nil"/>
              <w:left w:val="single" w:sz="4" w:space="0" w:color="auto"/>
              <w:bottom w:val="single" w:sz="4" w:space="0" w:color="auto"/>
              <w:right w:val="single" w:sz="4" w:space="0" w:color="auto"/>
            </w:tcBorders>
          </w:tcPr>
          <w:p w:rsidR="00012AD3" w:rsidRDefault="00543671" w:rsidP="00543671">
            <w:pPr>
              <w:jc w:val="right"/>
              <w:rPr>
                <w:rFonts w:ascii="Arial" w:hAnsi="Arial" w:cs="Arial"/>
              </w:rPr>
            </w:pPr>
            <w:r>
              <w:rPr>
                <w:rFonts w:ascii="Arial" w:hAnsi="Arial" w:cs="Arial"/>
              </w:rPr>
              <w:t>100</w:t>
            </w:r>
          </w:p>
        </w:tc>
        <w:tc>
          <w:tcPr>
            <w:tcW w:w="1800" w:type="dxa"/>
            <w:tcBorders>
              <w:top w:val="single" w:sz="4" w:space="0" w:color="auto"/>
              <w:left w:val="nil"/>
              <w:bottom w:val="single" w:sz="4" w:space="0" w:color="auto"/>
              <w:right w:val="single" w:sz="4" w:space="0" w:color="auto"/>
            </w:tcBorders>
          </w:tcPr>
          <w:p w:rsidR="00012AD3" w:rsidRDefault="00C44C1D" w:rsidP="009F2600">
            <w:pPr>
              <w:jc w:val="right"/>
              <w:rPr>
                <w:rFonts w:ascii="Arial" w:hAnsi="Arial" w:cs="Arial"/>
              </w:rPr>
            </w:pPr>
            <w:r>
              <w:rPr>
                <w:rFonts w:ascii="Arial" w:hAnsi="Arial" w:cs="Arial"/>
              </w:rPr>
              <w:t>6</w:t>
            </w:r>
            <w:r w:rsidR="009F2600">
              <w:rPr>
                <w:rFonts w:ascii="Arial" w:hAnsi="Arial" w:cs="Arial"/>
              </w:rPr>
              <w:t>02</w:t>
            </w:r>
          </w:p>
        </w:tc>
      </w:tr>
      <w:tr w:rsidR="00012AD3">
        <w:trPr>
          <w:trHeight w:val="255"/>
        </w:trPr>
        <w:tc>
          <w:tcPr>
            <w:tcW w:w="3425" w:type="dxa"/>
            <w:tcBorders>
              <w:top w:val="nil"/>
              <w:left w:val="single" w:sz="4" w:space="0" w:color="auto"/>
              <w:bottom w:val="single" w:sz="4" w:space="0" w:color="auto"/>
              <w:right w:val="single" w:sz="4" w:space="0" w:color="auto"/>
            </w:tcBorders>
            <w:noWrap/>
            <w:vAlign w:val="bottom"/>
          </w:tcPr>
          <w:p w:rsidR="00012AD3" w:rsidRDefault="004E28E0" w:rsidP="00213DA5">
            <w:pPr>
              <w:rPr>
                <w:rFonts w:ascii="Arial" w:hAnsi="Arial" w:cs="Arial"/>
              </w:rPr>
            </w:pPr>
            <w:r>
              <w:rPr>
                <w:rFonts w:ascii="Arial" w:hAnsi="Arial" w:cs="Arial"/>
              </w:rPr>
              <w:t>201</w:t>
            </w:r>
            <w:r w:rsidR="00213DA5">
              <w:rPr>
                <w:rFonts w:ascii="Arial" w:hAnsi="Arial" w:cs="Arial"/>
              </w:rPr>
              <w:t>3</w:t>
            </w:r>
            <w:r>
              <w:rPr>
                <w:rFonts w:ascii="Arial" w:hAnsi="Arial" w:cs="Arial"/>
              </w:rPr>
              <w:t>-201</w:t>
            </w:r>
            <w:r w:rsidR="00213DA5">
              <w:rPr>
                <w:rFonts w:ascii="Arial" w:hAnsi="Arial" w:cs="Arial"/>
              </w:rPr>
              <w:t>4</w:t>
            </w:r>
          </w:p>
        </w:tc>
        <w:tc>
          <w:tcPr>
            <w:tcW w:w="1440" w:type="dxa"/>
            <w:tcBorders>
              <w:top w:val="nil"/>
              <w:left w:val="nil"/>
              <w:bottom w:val="single" w:sz="4" w:space="0" w:color="auto"/>
              <w:right w:val="nil"/>
            </w:tcBorders>
            <w:shd w:val="clear" w:color="auto" w:fill="C0C0C0"/>
          </w:tcPr>
          <w:p w:rsidR="00012AD3" w:rsidRDefault="0033280F" w:rsidP="0033280F">
            <w:pPr>
              <w:jc w:val="right"/>
              <w:rPr>
                <w:rFonts w:ascii="Arial" w:hAnsi="Arial" w:cs="Arial"/>
              </w:rPr>
            </w:pPr>
            <w:r>
              <w:rPr>
                <w:rFonts w:ascii="Arial" w:hAnsi="Arial" w:cs="Arial"/>
              </w:rPr>
              <w:t>1</w:t>
            </w:r>
            <w:r w:rsidR="00B10996">
              <w:rPr>
                <w:rFonts w:ascii="Arial" w:hAnsi="Arial" w:cs="Arial"/>
              </w:rPr>
              <w:t>,</w:t>
            </w:r>
            <w:r>
              <w:rPr>
                <w:rFonts w:ascii="Arial" w:hAnsi="Arial" w:cs="Arial"/>
              </w:rPr>
              <w:t>473</w:t>
            </w:r>
          </w:p>
        </w:tc>
        <w:tc>
          <w:tcPr>
            <w:tcW w:w="1620" w:type="dxa"/>
            <w:tcBorders>
              <w:top w:val="single" w:sz="4" w:space="0" w:color="auto"/>
              <w:left w:val="nil"/>
              <w:bottom w:val="single" w:sz="4" w:space="0" w:color="auto"/>
              <w:right w:val="single" w:sz="4" w:space="0" w:color="auto"/>
            </w:tcBorders>
          </w:tcPr>
          <w:p w:rsidR="00012AD3" w:rsidRDefault="00C44C1D" w:rsidP="009F2600">
            <w:pPr>
              <w:jc w:val="right"/>
              <w:rPr>
                <w:rFonts w:ascii="Arial" w:hAnsi="Arial" w:cs="Arial"/>
              </w:rPr>
            </w:pPr>
            <w:r>
              <w:rPr>
                <w:rFonts w:ascii="Arial" w:hAnsi="Arial" w:cs="Arial"/>
              </w:rPr>
              <w:t>1,</w:t>
            </w:r>
            <w:r w:rsidR="009F2600">
              <w:rPr>
                <w:rFonts w:ascii="Arial" w:hAnsi="Arial" w:cs="Arial"/>
              </w:rPr>
              <w:t>099</w:t>
            </w:r>
          </w:p>
        </w:tc>
        <w:tc>
          <w:tcPr>
            <w:tcW w:w="1260" w:type="dxa"/>
            <w:tcBorders>
              <w:top w:val="nil"/>
              <w:left w:val="single" w:sz="4" w:space="0" w:color="auto"/>
              <w:bottom w:val="single" w:sz="4" w:space="0" w:color="auto"/>
              <w:right w:val="single" w:sz="4" w:space="0" w:color="auto"/>
            </w:tcBorders>
          </w:tcPr>
          <w:p w:rsidR="00012AD3" w:rsidRDefault="00543671" w:rsidP="00543671">
            <w:pPr>
              <w:jc w:val="right"/>
              <w:rPr>
                <w:rFonts w:ascii="Arial" w:hAnsi="Arial" w:cs="Arial"/>
              </w:rPr>
            </w:pPr>
            <w:r>
              <w:rPr>
                <w:rFonts w:ascii="Arial" w:hAnsi="Arial" w:cs="Arial"/>
              </w:rPr>
              <w:t>7</w:t>
            </w:r>
            <w:r w:rsidR="00A6126B">
              <w:rPr>
                <w:rFonts w:ascii="Arial" w:hAnsi="Arial" w:cs="Arial"/>
              </w:rPr>
              <w:t>5</w:t>
            </w:r>
          </w:p>
        </w:tc>
        <w:tc>
          <w:tcPr>
            <w:tcW w:w="1800" w:type="dxa"/>
            <w:tcBorders>
              <w:top w:val="single" w:sz="4" w:space="0" w:color="auto"/>
              <w:left w:val="nil"/>
              <w:bottom w:val="single" w:sz="4" w:space="0" w:color="auto"/>
              <w:right w:val="single" w:sz="4" w:space="0" w:color="auto"/>
            </w:tcBorders>
          </w:tcPr>
          <w:p w:rsidR="00012AD3" w:rsidRDefault="009F2600" w:rsidP="00E97D40">
            <w:pPr>
              <w:jc w:val="right"/>
              <w:rPr>
                <w:rFonts w:ascii="Arial" w:hAnsi="Arial" w:cs="Arial"/>
              </w:rPr>
            </w:pPr>
            <w:r>
              <w:rPr>
                <w:rFonts w:ascii="Arial" w:hAnsi="Arial" w:cs="Arial"/>
              </w:rPr>
              <w:t>825</w:t>
            </w:r>
          </w:p>
        </w:tc>
      </w:tr>
      <w:tr w:rsidR="00543671">
        <w:trPr>
          <w:trHeight w:val="255"/>
        </w:trPr>
        <w:tc>
          <w:tcPr>
            <w:tcW w:w="3425" w:type="dxa"/>
            <w:tcBorders>
              <w:top w:val="nil"/>
              <w:left w:val="single" w:sz="4" w:space="0" w:color="auto"/>
              <w:bottom w:val="single" w:sz="4" w:space="0" w:color="auto"/>
              <w:right w:val="single" w:sz="4" w:space="0" w:color="auto"/>
            </w:tcBorders>
            <w:noWrap/>
            <w:vAlign w:val="bottom"/>
          </w:tcPr>
          <w:p w:rsidR="00543671" w:rsidRDefault="00543671" w:rsidP="00213DA5">
            <w:pPr>
              <w:rPr>
                <w:rFonts w:ascii="Arial" w:hAnsi="Arial" w:cs="Arial"/>
              </w:rPr>
            </w:pPr>
            <w:r>
              <w:rPr>
                <w:rFonts w:ascii="Arial" w:hAnsi="Arial" w:cs="Arial"/>
              </w:rPr>
              <w:t>2014-2015</w:t>
            </w:r>
          </w:p>
        </w:tc>
        <w:tc>
          <w:tcPr>
            <w:tcW w:w="1440" w:type="dxa"/>
            <w:tcBorders>
              <w:top w:val="nil"/>
              <w:left w:val="nil"/>
              <w:bottom w:val="single" w:sz="4" w:space="0" w:color="auto"/>
              <w:right w:val="nil"/>
            </w:tcBorders>
            <w:shd w:val="clear" w:color="auto" w:fill="C0C0C0"/>
          </w:tcPr>
          <w:p w:rsidR="00543671" w:rsidRDefault="0033280F" w:rsidP="0033280F">
            <w:pPr>
              <w:jc w:val="right"/>
              <w:rPr>
                <w:rFonts w:ascii="Arial" w:hAnsi="Arial" w:cs="Arial"/>
              </w:rPr>
            </w:pPr>
            <w:r>
              <w:rPr>
                <w:rFonts w:ascii="Arial" w:hAnsi="Arial" w:cs="Arial"/>
              </w:rPr>
              <w:t>3,293</w:t>
            </w:r>
          </w:p>
        </w:tc>
        <w:tc>
          <w:tcPr>
            <w:tcW w:w="1620" w:type="dxa"/>
            <w:tcBorders>
              <w:top w:val="single" w:sz="4" w:space="0" w:color="auto"/>
              <w:left w:val="nil"/>
              <w:bottom w:val="single" w:sz="4" w:space="0" w:color="auto"/>
              <w:right w:val="single" w:sz="4" w:space="0" w:color="auto"/>
            </w:tcBorders>
          </w:tcPr>
          <w:p w:rsidR="00543671" w:rsidRDefault="00C44C1D" w:rsidP="009F2600">
            <w:pPr>
              <w:jc w:val="right"/>
              <w:rPr>
                <w:rFonts w:ascii="Arial" w:hAnsi="Arial" w:cs="Arial"/>
              </w:rPr>
            </w:pPr>
            <w:r>
              <w:rPr>
                <w:rFonts w:ascii="Arial" w:hAnsi="Arial" w:cs="Arial"/>
              </w:rPr>
              <w:t>2</w:t>
            </w:r>
            <w:r w:rsidR="00720213">
              <w:rPr>
                <w:rFonts w:ascii="Arial" w:hAnsi="Arial" w:cs="Arial"/>
              </w:rPr>
              <w:t>,</w:t>
            </w:r>
            <w:r w:rsidR="009F2600">
              <w:rPr>
                <w:rFonts w:ascii="Arial" w:hAnsi="Arial" w:cs="Arial"/>
              </w:rPr>
              <w:t>006</w:t>
            </w:r>
          </w:p>
        </w:tc>
        <w:tc>
          <w:tcPr>
            <w:tcW w:w="1260" w:type="dxa"/>
            <w:tcBorders>
              <w:top w:val="nil"/>
              <w:left w:val="single" w:sz="4" w:space="0" w:color="auto"/>
              <w:bottom w:val="single" w:sz="4" w:space="0" w:color="auto"/>
              <w:right w:val="single" w:sz="4" w:space="0" w:color="auto"/>
            </w:tcBorders>
          </w:tcPr>
          <w:p w:rsidR="00543671" w:rsidRDefault="00543671" w:rsidP="00543671">
            <w:pPr>
              <w:jc w:val="right"/>
              <w:rPr>
                <w:rFonts w:ascii="Arial" w:hAnsi="Arial" w:cs="Arial"/>
              </w:rPr>
            </w:pPr>
            <w:r>
              <w:rPr>
                <w:rFonts w:ascii="Arial" w:hAnsi="Arial" w:cs="Arial"/>
              </w:rPr>
              <w:t>65</w:t>
            </w:r>
          </w:p>
        </w:tc>
        <w:tc>
          <w:tcPr>
            <w:tcW w:w="1800" w:type="dxa"/>
            <w:tcBorders>
              <w:top w:val="single" w:sz="4" w:space="0" w:color="auto"/>
              <w:left w:val="nil"/>
              <w:bottom w:val="single" w:sz="4" w:space="0" w:color="auto"/>
              <w:right w:val="single" w:sz="4" w:space="0" w:color="auto"/>
            </w:tcBorders>
          </w:tcPr>
          <w:p w:rsidR="00543671" w:rsidRDefault="009F2600" w:rsidP="00CA05B2">
            <w:pPr>
              <w:jc w:val="right"/>
              <w:rPr>
                <w:rFonts w:ascii="Arial" w:hAnsi="Arial" w:cs="Arial"/>
              </w:rPr>
            </w:pPr>
            <w:r>
              <w:rPr>
                <w:rFonts w:ascii="Arial" w:hAnsi="Arial" w:cs="Arial"/>
              </w:rPr>
              <w:t>1,304</w:t>
            </w:r>
          </w:p>
        </w:tc>
      </w:tr>
      <w:tr w:rsidR="00012AD3">
        <w:trPr>
          <w:trHeight w:val="255"/>
        </w:trPr>
        <w:tc>
          <w:tcPr>
            <w:tcW w:w="3425" w:type="dxa"/>
            <w:tcBorders>
              <w:top w:val="nil"/>
              <w:left w:val="single" w:sz="4" w:space="0" w:color="auto"/>
              <w:bottom w:val="single" w:sz="4" w:space="0" w:color="auto"/>
              <w:right w:val="single" w:sz="4" w:space="0" w:color="auto"/>
            </w:tcBorders>
            <w:noWrap/>
          </w:tcPr>
          <w:p w:rsidR="00012AD3" w:rsidRDefault="006034B9" w:rsidP="00237BA3">
            <w:pPr>
              <w:rPr>
                <w:rFonts w:ascii="Arial" w:hAnsi="Arial" w:cs="Arial"/>
                <w:b/>
                <w:bCs/>
              </w:rPr>
            </w:pPr>
            <w:r>
              <w:rPr>
                <w:rFonts w:ascii="Arial" w:hAnsi="Arial" w:cs="Arial"/>
                <w:b/>
                <w:bCs/>
              </w:rPr>
              <w:t>Total</w:t>
            </w:r>
          </w:p>
        </w:tc>
        <w:tc>
          <w:tcPr>
            <w:tcW w:w="1440" w:type="dxa"/>
            <w:tcBorders>
              <w:top w:val="nil"/>
              <w:left w:val="nil"/>
              <w:bottom w:val="single" w:sz="4" w:space="0" w:color="auto"/>
              <w:right w:val="nil"/>
            </w:tcBorders>
            <w:shd w:val="clear" w:color="auto" w:fill="C0C0C0"/>
          </w:tcPr>
          <w:p w:rsidR="00012AD3" w:rsidRDefault="007D6CEF" w:rsidP="0033280F">
            <w:pPr>
              <w:jc w:val="right"/>
              <w:rPr>
                <w:rFonts w:ascii="Arial" w:hAnsi="Arial" w:cs="Arial"/>
                <w:b/>
                <w:bCs/>
              </w:rPr>
            </w:pPr>
            <w:r>
              <w:rPr>
                <w:rFonts w:ascii="Arial" w:hAnsi="Arial" w:cs="Arial"/>
                <w:b/>
                <w:bCs/>
              </w:rPr>
              <w:t>6</w:t>
            </w:r>
            <w:r w:rsidR="00A70C59">
              <w:rPr>
                <w:rFonts w:ascii="Arial" w:hAnsi="Arial" w:cs="Arial"/>
                <w:b/>
                <w:bCs/>
              </w:rPr>
              <w:t>,</w:t>
            </w:r>
            <w:r w:rsidR="0033280F">
              <w:rPr>
                <w:rFonts w:ascii="Arial" w:hAnsi="Arial" w:cs="Arial"/>
                <w:b/>
                <w:bCs/>
              </w:rPr>
              <w:t>883</w:t>
            </w:r>
          </w:p>
        </w:tc>
        <w:tc>
          <w:tcPr>
            <w:tcW w:w="1620" w:type="dxa"/>
            <w:tcBorders>
              <w:top w:val="single" w:sz="4" w:space="0" w:color="auto"/>
              <w:left w:val="nil"/>
              <w:bottom w:val="single" w:sz="4" w:space="0" w:color="auto"/>
              <w:right w:val="single" w:sz="4" w:space="0" w:color="auto"/>
            </w:tcBorders>
          </w:tcPr>
          <w:p w:rsidR="00012AD3" w:rsidRDefault="009F2600" w:rsidP="009F2600">
            <w:pPr>
              <w:jc w:val="right"/>
              <w:rPr>
                <w:rFonts w:ascii="Arial" w:hAnsi="Arial" w:cs="Arial"/>
                <w:b/>
                <w:bCs/>
              </w:rPr>
            </w:pPr>
            <w:r>
              <w:rPr>
                <w:rFonts w:ascii="Arial" w:hAnsi="Arial" w:cs="Arial"/>
                <w:b/>
                <w:bCs/>
              </w:rPr>
              <w:t>4</w:t>
            </w:r>
            <w:r w:rsidR="00F741B0">
              <w:rPr>
                <w:rFonts w:ascii="Arial" w:hAnsi="Arial" w:cs="Arial"/>
                <w:b/>
                <w:bCs/>
              </w:rPr>
              <w:t>,</w:t>
            </w:r>
            <w:r>
              <w:rPr>
                <w:rFonts w:ascii="Arial" w:hAnsi="Arial" w:cs="Arial"/>
                <w:b/>
                <w:bCs/>
              </w:rPr>
              <w:t>758</w:t>
            </w:r>
          </w:p>
        </w:tc>
        <w:tc>
          <w:tcPr>
            <w:tcW w:w="1260" w:type="dxa"/>
            <w:tcBorders>
              <w:top w:val="nil"/>
              <w:left w:val="single" w:sz="4" w:space="0" w:color="auto"/>
              <w:bottom w:val="single" w:sz="4" w:space="0" w:color="auto"/>
              <w:right w:val="single" w:sz="4" w:space="0" w:color="auto"/>
            </w:tcBorders>
          </w:tcPr>
          <w:p w:rsidR="00012AD3" w:rsidRDefault="00012AD3" w:rsidP="00237BA3">
            <w:pPr>
              <w:jc w:val="right"/>
              <w:rPr>
                <w:rFonts w:ascii="Arial" w:hAnsi="Arial" w:cs="Arial"/>
                <w:b/>
                <w:bCs/>
              </w:rPr>
            </w:pPr>
          </w:p>
        </w:tc>
        <w:tc>
          <w:tcPr>
            <w:tcW w:w="1800" w:type="dxa"/>
            <w:tcBorders>
              <w:top w:val="single" w:sz="4" w:space="0" w:color="auto"/>
              <w:left w:val="nil"/>
              <w:bottom w:val="single" w:sz="4" w:space="0" w:color="auto"/>
              <w:right w:val="single" w:sz="4" w:space="0" w:color="auto"/>
            </w:tcBorders>
          </w:tcPr>
          <w:p w:rsidR="00012AD3" w:rsidRDefault="009F2600" w:rsidP="009F2600">
            <w:pPr>
              <w:jc w:val="right"/>
              <w:rPr>
                <w:rFonts w:ascii="Arial" w:hAnsi="Arial" w:cs="Arial"/>
                <w:b/>
                <w:bCs/>
              </w:rPr>
            </w:pPr>
            <w:r>
              <w:rPr>
                <w:rFonts w:ascii="Arial" w:hAnsi="Arial" w:cs="Arial"/>
                <w:b/>
                <w:bCs/>
              </w:rPr>
              <w:t>3</w:t>
            </w:r>
            <w:r w:rsidR="00CA05B2">
              <w:rPr>
                <w:rFonts w:ascii="Arial" w:hAnsi="Arial" w:cs="Arial"/>
                <w:b/>
                <w:bCs/>
              </w:rPr>
              <w:t>,</w:t>
            </w:r>
            <w:r>
              <w:rPr>
                <w:rFonts w:ascii="Arial" w:hAnsi="Arial" w:cs="Arial"/>
                <w:b/>
                <w:bCs/>
              </w:rPr>
              <w:t>782</w:t>
            </w:r>
          </w:p>
        </w:tc>
      </w:tr>
    </w:tbl>
    <w:p w:rsidR="00827C4A" w:rsidRDefault="00827C4A" w:rsidP="00237BA3">
      <w:pPr>
        <w:jc w:val="both"/>
        <w:rPr>
          <w:rFonts w:ascii="Arial" w:hAnsi="Arial" w:cs="Arial"/>
          <w:b/>
        </w:rPr>
      </w:pPr>
    </w:p>
    <w:p w:rsidR="00237BA3" w:rsidRPr="000D499C" w:rsidRDefault="00237BA3" w:rsidP="00237BA3">
      <w:pPr>
        <w:jc w:val="both"/>
        <w:rPr>
          <w:rFonts w:ascii="Arial" w:hAnsi="Arial" w:cs="Arial"/>
          <w:b/>
        </w:rPr>
      </w:pPr>
      <w:r w:rsidRPr="000D499C">
        <w:rPr>
          <w:rFonts w:ascii="Arial" w:hAnsi="Arial" w:cs="Arial"/>
          <w:b/>
        </w:rPr>
        <w:t>National Non Domestic Rates (NNDR)</w:t>
      </w:r>
    </w:p>
    <w:p w:rsidR="00B10996" w:rsidRDefault="00237BA3" w:rsidP="00A6724C">
      <w:pPr>
        <w:tabs>
          <w:tab w:val="left" w:pos="5760"/>
        </w:tabs>
        <w:ind w:right="-99"/>
        <w:rPr>
          <w:rFonts w:ascii="Arial" w:hAnsi="Arial" w:cs="Arial"/>
        </w:rPr>
      </w:pPr>
      <w:r>
        <w:rPr>
          <w:rFonts w:ascii="Arial" w:hAnsi="Arial" w:cs="Arial"/>
        </w:rPr>
        <w:t xml:space="preserve">Currently, bad debt provisions </w:t>
      </w:r>
      <w:r w:rsidRPr="00D813D3">
        <w:rPr>
          <w:rFonts w:ascii="Arial" w:hAnsi="Arial" w:cs="Arial"/>
        </w:rPr>
        <w:t>of £</w:t>
      </w:r>
      <w:r w:rsidR="00720213">
        <w:rPr>
          <w:rFonts w:ascii="Arial" w:hAnsi="Arial" w:cs="Arial"/>
        </w:rPr>
        <w:t>1</w:t>
      </w:r>
      <w:r w:rsidR="00784E32" w:rsidRPr="00D813D3">
        <w:rPr>
          <w:rFonts w:ascii="Arial" w:hAnsi="Arial" w:cs="Arial"/>
        </w:rPr>
        <w:t>.</w:t>
      </w:r>
      <w:r w:rsidR="009F2600">
        <w:rPr>
          <w:rFonts w:ascii="Arial" w:hAnsi="Arial" w:cs="Arial"/>
        </w:rPr>
        <w:t>765</w:t>
      </w:r>
      <w:r w:rsidR="00C317DF" w:rsidRPr="00D813D3">
        <w:rPr>
          <w:rFonts w:ascii="Arial" w:hAnsi="Arial" w:cs="Arial"/>
        </w:rPr>
        <w:t>m</w:t>
      </w:r>
      <w:r w:rsidR="004F70C0" w:rsidRPr="00B87680">
        <w:rPr>
          <w:rFonts w:ascii="Arial" w:hAnsi="Arial" w:cs="Arial"/>
        </w:rPr>
        <w:t xml:space="preserve"> </w:t>
      </w:r>
      <w:r w:rsidR="00E067BE" w:rsidRPr="00750E63">
        <w:rPr>
          <w:rFonts w:ascii="Arial" w:hAnsi="Arial" w:cs="Arial"/>
          <w:b/>
        </w:rPr>
        <w:t>[£</w:t>
      </w:r>
      <w:r w:rsidR="00720213">
        <w:rPr>
          <w:rFonts w:ascii="Arial" w:hAnsi="Arial" w:cs="Arial"/>
          <w:b/>
        </w:rPr>
        <w:t>2</w:t>
      </w:r>
      <w:r w:rsidR="00784E32" w:rsidRPr="00750E63">
        <w:rPr>
          <w:rFonts w:ascii="Arial" w:hAnsi="Arial" w:cs="Arial"/>
          <w:b/>
        </w:rPr>
        <w:t>.</w:t>
      </w:r>
      <w:r w:rsidR="00720213">
        <w:rPr>
          <w:rFonts w:ascii="Arial" w:hAnsi="Arial" w:cs="Arial"/>
          <w:b/>
        </w:rPr>
        <w:t>197</w:t>
      </w:r>
      <w:r w:rsidR="00BB6B55" w:rsidRPr="00750E63">
        <w:rPr>
          <w:rFonts w:ascii="Arial" w:hAnsi="Arial" w:cs="Arial"/>
          <w:b/>
        </w:rPr>
        <w:t>m</w:t>
      </w:r>
      <w:r w:rsidR="004F70C0" w:rsidRPr="00B87680">
        <w:rPr>
          <w:rFonts w:ascii="Arial" w:hAnsi="Arial" w:cs="Arial"/>
        </w:rPr>
        <w:t xml:space="preserve">- </w:t>
      </w:r>
      <w:r w:rsidR="004F70C0" w:rsidRPr="00D813D3">
        <w:rPr>
          <w:rFonts w:ascii="Arial" w:hAnsi="Arial" w:cs="Arial"/>
        </w:rPr>
        <w:t>£0.</w:t>
      </w:r>
      <w:r w:rsidR="009F2600">
        <w:rPr>
          <w:rFonts w:ascii="Arial" w:hAnsi="Arial" w:cs="Arial"/>
        </w:rPr>
        <w:t>432</w:t>
      </w:r>
      <w:r w:rsidR="00B10996" w:rsidRPr="00D813D3">
        <w:rPr>
          <w:rFonts w:ascii="Arial" w:hAnsi="Arial" w:cs="Arial"/>
        </w:rPr>
        <w:t>k</w:t>
      </w:r>
      <w:r w:rsidR="00D0422F" w:rsidRPr="00D813D3">
        <w:rPr>
          <w:rFonts w:ascii="Arial" w:hAnsi="Arial" w:cs="Arial"/>
        </w:rPr>
        <w:t>;</w:t>
      </w:r>
      <w:r w:rsidR="00D0422F">
        <w:rPr>
          <w:rFonts w:ascii="Arial" w:hAnsi="Arial" w:cs="Arial"/>
        </w:rPr>
        <w:t xml:space="preserve"> </w:t>
      </w:r>
      <w:r w:rsidR="00E067BE">
        <w:rPr>
          <w:rFonts w:ascii="Arial" w:hAnsi="Arial" w:cs="Arial"/>
        </w:rPr>
        <w:t>w/offs</w:t>
      </w:r>
      <w:r w:rsidR="00D0422F">
        <w:rPr>
          <w:rFonts w:ascii="Arial" w:hAnsi="Arial" w:cs="Arial"/>
        </w:rPr>
        <w:t xml:space="preserve"> done 01/04/</w:t>
      </w:r>
      <w:r w:rsidR="00834E17">
        <w:rPr>
          <w:rFonts w:ascii="Arial" w:hAnsi="Arial" w:cs="Arial"/>
        </w:rPr>
        <w:t>1</w:t>
      </w:r>
      <w:r w:rsidR="00720213">
        <w:rPr>
          <w:rFonts w:ascii="Arial" w:hAnsi="Arial" w:cs="Arial"/>
        </w:rPr>
        <w:t>5</w:t>
      </w:r>
      <w:r w:rsidR="00D0422F">
        <w:rPr>
          <w:rFonts w:ascii="Arial" w:hAnsi="Arial" w:cs="Arial"/>
        </w:rPr>
        <w:t xml:space="preserve"> to 3</w:t>
      </w:r>
      <w:r w:rsidR="00720213">
        <w:rPr>
          <w:rFonts w:ascii="Arial" w:hAnsi="Arial" w:cs="Arial"/>
        </w:rPr>
        <w:t>0</w:t>
      </w:r>
      <w:r w:rsidR="00D0422F">
        <w:rPr>
          <w:rFonts w:ascii="Arial" w:hAnsi="Arial" w:cs="Arial"/>
        </w:rPr>
        <w:t>/</w:t>
      </w:r>
      <w:r w:rsidR="00720213">
        <w:rPr>
          <w:rFonts w:ascii="Arial" w:hAnsi="Arial" w:cs="Arial"/>
        </w:rPr>
        <w:t>0</w:t>
      </w:r>
      <w:r w:rsidR="00F61B46">
        <w:rPr>
          <w:rFonts w:ascii="Arial" w:hAnsi="Arial" w:cs="Arial"/>
        </w:rPr>
        <w:t>9</w:t>
      </w:r>
      <w:r w:rsidR="00D0422F">
        <w:rPr>
          <w:rFonts w:ascii="Arial" w:hAnsi="Arial" w:cs="Arial"/>
        </w:rPr>
        <w:t>/</w:t>
      </w:r>
      <w:r w:rsidR="00834E17">
        <w:rPr>
          <w:rFonts w:ascii="Arial" w:hAnsi="Arial" w:cs="Arial"/>
        </w:rPr>
        <w:t>1</w:t>
      </w:r>
      <w:r w:rsidR="00720213">
        <w:rPr>
          <w:rFonts w:ascii="Arial" w:hAnsi="Arial" w:cs="Arial"/>
        </w:rPr>
        <w:t>5</w:t>
      </w:r>
      <w:r w:rsidR="00D0422F">
        <w:rPr>
          <w:rFonts w:ascii="Arial" w:hAnsi="Arial" w:cs="Arial"/>
        </w:rPr>
        <w:t>]</w:t>
      </w:r>
      <w:r w:rsidR="00E067BE">
        <w:rPr>
          <w:rFonts w:ascii="Arial" w:hAnsi="Arial" w:cs="Arial"/>
        </w:rPr>
        <w:t xml:space="preserve"> </w:t>
      </w:r>
      <w:r>
        <w:rPr>
          <w:rFonts w:ascii="Arial" w:hAnsi="Arial" w:cs="Arial"/>
        </w:rPr>
        <w:t xml:space="preserve">exist for business rates (NNDR) against a potential BDP </w:t>
      </w:r>
      <w:r w:rsidRPr="005B2ED7">
        <w:rPr>
          <w:rFonts w:ascii="Arial" w:hAnsi="Arial" w:cs="Arial"/>
        </w:rPr>
        <w:t xml:space="preserve">of </w:t>
      </w:r>
      <w:r w:rsidRPr="00D46403">
        <w:rPr>
          <w:rFonts w:ascii="Arial" w:hAnsi="Arial" w:cs="Arial"/>
        </w:rPr>
        <w:t>£</w:t>
      </w:r>
      <w:r w:rsidR="00006233">
        <w:rPr>
          <w:rFonts w:ascii="Arial" w:hAnsi="Arial" w:cs="Arial"/>
        </w:rPr>
        <w:t>1</w:t>
      </w:r>
      <w:r w:rsidR="00B27F8B" w:rsidRPr="00D46403">
        <w:rPr>
          <w:rFonts w:ascii="Arial" w:hAnsi="Arial" w:cs="Arial"/>
        </w:rPr>
        <w:t>.</w:t>
      </w:r>
      <w:r w:rsidR="009F2600">
        <w:rPr>
          <w:rFonts w:ascii="Arial" w:hAnsi="Arial" w:cs="Arial"/>
        </w:rPr>
        <w:t>646</w:t>
      </w:r>
      <w:r w:rsidR="004F70C0" w:rsidRPr="00D46403">
        <w:rPr>
          <w:rFonts w:ascii="Arial" w:hAnsi="Arial" w:cs="Arial"/>
        </w:rPr>
        <w:t>m</w:t>
      </w:r>
      <w:r w:rsidRPr="00B87680">
        <w:rPr>
          <w:rFonts w:ascii="Arial" w:hAnsi="Arial" w:cs="Arial"/>
        </w:rPr>
        <w:t>.</w:t>
      </w:r>
      <w:r w:rsidRPr="004F70C0">
        <w:rPr>
          <w:rFonts w:ascii="Arial" w:hAnsi="Arial" w:cs="Arial"/>
        </w:rPr>
        <w:t xml:space="preserve"> </w:t>
      </w:r>
      <w:r w:rsidR="00B10996">
        <w:rPr>
          <w:rFonts w:ascii="Arial" w:hAnsi="Arial" w:cs="Arial"/>
        </w:rPr>
        <w:t>Under Business Rates retention, the effect on the local authority is 30% of any surplus or deficit.</w:t>
      </w:r>
    </w:p>
    <w:p w:rsidR="00B10996" w:rsidRDefault="00B10996" w:rsidP="007D2A81">
      <w:pPr>
        <w:tabs>
          <w:tab w:val="left" w:pos="5760"/>
        </w:tabs>
        <w:ind w:right="-900"/>
        <w:rPr>
          <w:rFonts w:ascii="Arial" w:hAnsi="Arial" w:cs="Arial"/>
        </w:rPr>
      </w:pPr>
    </w:p>
    <w:p w:rsidR="00E04727" w:rsidRDefault="00E04727" w:rsidP="007D2A81">
      <w:pPr>
        <w:tabs>
          <w:tab w:val="left" w:pos="5760"/>
        </w:tabs>
        <w:ind w:right="-900"/>
        <w:rPr>
          <w:rFonts w:ascii="Arial" w:hAnsi="Arial" w:cs="Arial"/>
        </w:rPr>
      </w:pPr>
    </w:p>
    <w:tbl>
      <w:tblPr>
        <w:tblW w:w="9545" w:type="dxa"/>
        <w:tblInd w:w="103" w:type="dxa"/>
        <w:tblLayout w:type="fixed"/>
        <w:tblLook w:val="0000" w:firstRow="0" w:lastRow="0" w:firstColumn="0" w:lastColumn="0" w:noHBand="0" w:noVBand="0"/>
      </w:tblPr>
      <w:tblGrid>
        <w:gridCol w:w="3425"/>
        <w:gridCol w:w="1620"/>
        <w:gridCol w:w="1620"/>
        <w:gridCol w:w="1260"/>
        <w:gridCol w:w="1620"/>
      </w:tblGrid>
      <w:tr w:rsidR="00D577F3" w:rsidRPr="007D2A81">
        <w:trPr>
          <w:trHeight w:val="527"/>
        </w:trPr>
        <w:tc>
          <w:tcPr>
            <w:tcW w:w="3425" w:type="dxa"/>
            <w:tcBorders>
              <w:top w:val="single" w:sz="4" w:space="0" w:color="auto"/>
              <w:left w:val="single" w:sz="4" w:space="0" w:color="auto"/>
              <w:bottom w:val="single" w:sz="4" w:space="0" w:color="auto"/>
              <w:right w:val="single" w:sz="4" w:space="0" w:color="auto"/>
            </w:tcBorders>
            <w:noWrap/>
          </w:tcPr>
          <w:p w:rsidR="00D577F3" w:rsidRPr="00E04727" w:rsidRDefault="00D577F3" w:rsidP="00237BA3">
            <w:pPr>
              <w:rPr>
                <w:rFonts w:ascii="Arial" w:hAnsi="Arial" w:cs="Arial"/>
                <w:b/>
                <w:sz w:val="20"/>
                <w:szCs w:val="20"/>
              </w:rPr>
            </w:pPr>
            <w:r w:rsidRPr="00E04727">
              <w:rPr>
                <w:rFonts w:ascii="Arial" w:hAnsi="Arial" w:cs="Arial"/>
                <w:b/>
                <w:bCs/>
                <w:sz w:val="20"/>
                <w:szCs w:val="20"/>
                <w:lang w:val="en-US"/>
              </w:rPr>
              <w:t>NATIONAL NON DOMESTIC RATES (NNDR)</w:t>
            </w:r>
          </w:p>
        </w:tc>
        <w:tc>
          <w:tcPr>
            <w:tcW w:w="1620" w:type="dxa"/>
            <w:tcBorders>
              <w:top w:val="single" w:sz="4" w:space="0" w:color="auto"/>
              <w:left w:val="nil"/>
              <w:bottom w:val="single" w:sz="4" w:space="0" w:color="auto"/>
              <w:right w:val="nil"/>
            </w:tcBorders>
          </w:tcPr>
          <w:p w:rsidR="00D577F3" w:rsidRPr="007D2A81" w:rsidRDefault="00D577F3" w:rsidP="00D577F3">
            <w:pPr>
              <w:ind w:right="-108"/>
              <w:jc w:val="center"/>
              <w:rPr>
                <w:rFonts w:ascii="Arial" w:hAnsi="Arial" w:cs="Arial"/>
                <w:sz w:val="20"/>
                <w:szCs w:val="20"/>
              </w:rPr>
            </w:pPr>
            <w:r w:rsidRPr="007D2A81">
              <w:rPr>
                <w:rFonts w:ascii="Arial" w:hAnsi="Arial" w:cs="Arial"/>
                <w:sz w:val="20"/>
                <w:szCs w:val="20"/>
              </w:rPr>
              <w:t>Arrears as at 1</w:t>
            </w:r>
            <w:r w:rsidRPr="007D2A81">
              <w:rPr>
                <w:rFonts w:ascii="Arial" w:hAnsi="Arial" w:cs="Arial"/>
                <w:sz w:val="20"/>
                <w:szCs w:val="20"/>
                <w:vertAlign w:val="superscript"/>
              </w:rPr>
              <w:t>st</w:t>
            </w:r>
            <w:r w:rsidRPr="007D2A81">
              <w:rPr>
                <w:rFonts w:ascii="Arial" w:hAnsi="Arial" w:cs="Arial"/>
                <w:sz w:val="20"/>
                <w:szCs w:val="20"/>
              </w:rPr>
              <w:t xml:space="preserve"> of April</w:t>
            </w:r>
          </w:p>
        </w:tc>
        <w:tc>
          <w:tcPr>
            <w:tcW w:w="1620" w:type="dxa"/>
            <w:tcBorders>
              <w:top w:val="single" w:sz="4" w:space="0" w:color="auto"/>
              <w:left w:val="nil"/>
              <w:bottom w:val="single" w:sz="4" w:space="0" w:color="auto"/>
              <w:right w:val="single" w:sz="4" w:space="0" w:color="auto"/>
            </w:tcBorders>
          </w:tcPr>
          <w:p w:rsidR="00D577F3" w:rsidRPr="007D2A81" w:rsidRDefault="00D577F3" w:rsidP="00720213">
            <w:pPr>
              <w:jc w:val="center"/>
              <w:rPr>
                <w:rFonts w:ascii="Arial" w:hAnsi="Arial" w:cs="Arial"/>
                <w:sz w:val="20"/>
                <w:szCs w:val="20"/>
              </w:rPr>
            </w:pPr>
            <w:r w:rsidRPr="007D2A81">
              <w:rPr>
                <w:rFonts w:ascii="Arial" w:hAnsi="Arial" w:cs="Arial"/>
                <w:sz w:val="20"/>
                <w:szCs w:val="20"/>
              </w:rPr>
              <w:t xml:space="preserve">Arrears as at Qtr </w:t>
            </w:r>
            <w:r w:rsidR="00F61B46">
              <w:rPr>
                <w:rFonts w:ascii="Arial" w:hAnsi="Arial" w:cs="Arial"/>
                <w:sz w:val="20"/>
                <w:szCs w:val="20"/>
              </w:rPr>
              <w:t>2</w:t>
            </w:r>
          </w:p>
        </w:tc>
        <w:tc>
          <w:tcPr>
            <w:tcW w:w="1260" w:type="dxa"/>
            <w:tcBorders>
              <w:top w:val="single" w:sz="4" w:space="0" w:color="auto"/>
              <w:left w:val="nil"/>
              <w:bottom w:val="single" w:sz="4" w:space="0" w:color="auto"/>
              <w:right w:val="single" w:sz="4" w:space="0" w:color="auto"/>
            </w:tcBorders>
          </w:tcPr>
          <w:p w:rsidR="00D577F3" w:rsidRPr="007D2A81" w:rsidRDefault="00D577F3" w:rsidP="002512D2">
            <w:pPr>
              <w:jc w:val="center"/>
              <w:rPr>
                <w:rFonts w:ascii="Arial" w:hAnsi="Arial" w:cs="Arial"/>
                <w:sz w:val="20"/>
                <w:szCs w:val="20"/>
              </w:rPr>
            </w:pPr>
            <w:r w:rsidRPr="007D2A81">
              <w:rPr>
                <w:rFonts w:ascii="Arial" w:hAnsi="Arial" w:cs="Arial"/>
                <w:sz w:val="20"/>
                <w:szCs w:val="20"/>
              </w:rPr>
              <w:t xml:space="preserve">BDP </w:t>
            </w:r>
          </w:p>
        </w:tc>
        <w:tc>
          <w:tcPr>
            <w:tcW w:w="1620" w:type="dxa"/>
            <w:tcBorders>
              <w:top w:val="single" w:sz="4" w:space="0" w:color="auto"/>
              <w:left w:val="nil"/>
              <w:bottom w:val="single" w:sz="4" w:space="0" w:color="auto"/>
              <w:right w:val="single" w:sz="4" w:space="0" w:color="auto"/>
            </w:tcBorders>
          </w:tcPr>
          <w:p w:rsidR="00D577F3" w:rsidRPr="007D2A81" w:rsidRDefault="00C61C97" w:rsidP="00720213">
            <w:pPr>
              <w:jc w:val="center"/>
              <w:rPr>
                <w:rFonts w:ascii="Arial" w:hAnsi="Arial" w:cs="Arial"/>
                <w:sz w:val="20"/>
                <w:szCs w:val="20"/>
              </w:rPr>
            </w:pPr>
            <w:r>
              <w:rPr>
                <w:rFonts w:ascii="Arial" w:hAnsi="Arial" w:cs="Arial"/>
                <w:b/>
                <w:sz w:val="20"/>
                <w:szCs w:val="20"/>
              </w:rPr>
              <w:t xml:space="preserve">BDP </w:t>
            </w:r>
            <w:r w:rsidRPr="007D2A81">
              <w:rPr>
                <w:rFonts w:ascii="Arial" w:hAnsi="Arial" w:cs="Arial"/>
                <w:b/>
                <w:sz w:val="20"/>
                <w:szCs w:val="20"/>
              </w:rPr>
              <w:t>as</w:t>
            </w:r>
            <w:r w:rsidR="00D577F3" w:rsidRPr="007D2A81">
              <w:rPr>
                <w:rFonts w:ascii="Arial" w:hAnsi="Arial" w:cs="Arial"/>
                <w:b/>
                <w:sz w:val="20"/>
                <w:szCs w:val="20"/>
              </w:rPr>
              <w:t xml:space="preserve"> at Qtr </w:t>
            </w:r>
            <w:r w:rsidR="00F61B46">
              <w:rPr>
                <w:rFonts w:ascii="Arial" w:hAnsi="Arial" w:cs="Arial"/>
                <w:b/>
                <w:sz w:val="20"/>
                <w:szCs w:val="20"/>
              </w:rPr>
              <w:t>2</w:t>
            </w:r>
          </w:p>
        </w:tc>
      </w:tr>
      <w:tr w:rsidR="006034B9" w:rsidRPr="002F6CFD">
        <w:trPr>
          <w:trHeight w:val="255"/>
        </w:trPr>
        <w:tc>
          <w:tcPr>
            <w:tcW w:w="3425" w:type="dxa"/>
            <w:tcBorders>
              <w:top w:val="nil"/>
              <w:left w:val="single" w:sz="4" w:space="0" w:color="auto"/>
              <w:bottom w:val="single" w:sz="4" w:space="0" w:color="auto"/>
              <w:right w:val="single" w:sz="4" w:space="0" w:color="auto"/>
            </w:tcBorders>
            <w:noWrap/>
            <w:vAlign w:val="bottom"/>
          </w:tcPr>
          <w:p w:rsidR="006034B9" w:rsidRPr="002F6CFD" w:rsidRDefault="006034B9" w:rsidP="00237BA3">
            <w:pPr>
              <w:rPr>
                <w:rFonts w:ascii="Arial" w:hAnsi="Arial" w:cs="Arial"/>
              </w:rPr>
            </w:pPr>
          </w:p>
        </w:tc>
        <w:tc>
          <w:tcPr>
            <w:tcW w:w="1620" w:type="dxa"/>
            <w:tcBorders>
              <w:top w:val="nil"/>
              <w:left w:val="nil"/>
              <w:bottom w:val="single" w:sz="4" w:space="0" w:color="auto"/>
              <w:right w:val="nil"/>
            </w:tcBorders>
            <w:vAlign w:val="bottom"/>
          </w:tcPr>
          <w:p w:rsidR="006034B9" w:rsidRPr="002F6CFD" w:rsidRDefault="006034B9" w:rsidP="00237BA3">
            <w:pPr>
              <w:jc w:val="center"/>
              <w:rPr>
                <w:rFonts w:ascii="Arial" w:hAnsi="Arial" w:cs="Arial"/>
              </w:rPr>
            </w:pPr>
            <w:r w:rsidRPr="002F6CFD">
              <w:rPr>
                <w:rFonts w:ascii="Arial" w:hAnsi="Arial" w:cs="Arial"/>
              </w:rPr>
              <w:t>£000</w:t>
            </w:r>
          </w:p>
        </w:tc>
        <w:tc>
          <w:tcPr>
            <w:tcW w:w="1620" w:type="dxa"/>
            <w:tcBorders>
              <w:top w:val="single" w:sz="4" w:space="0" w:color="auto"/>
              <w:left w:val="nil"/>
              <w:bottom w:val="single" w:sz="4" w:space="0" w:color="auto"/>
              <w:right w:val="single" w:sz="4" w:space="0" w:color="auto"/>
            </w:tcBorders>
            <w:vAlign w:val="bottom"/>
          </w:tcPr>
          <w:p w:rsidR="006034B9" w:rsidRPr="002F6CFD" w:rsidRDefault="006034B9" w:rsidP="00237BA3">
            <w:pPr>
              <w:jc w:val="center"/>
              <w:rPr>
                <w:rFonts w:ascii="Arial" w:hAnsi="Arial" w:cs="Arial"/>
              </w:rPr>
            </w:pPr>
            <w:r w:rsidRPr="002F6CFD">
              <w:rPr>
                <w:rFonts w:ascii="Arial" w:hAnsi="Arial" w:cs="Arial"/>
              </w:rPr>
              <w:t>£000</w:t>
            </w:r>
          </w:p>
        </w:tc>
        <w:tc>
          <w:tcPr>
            <w:tcW w:w="1260" w:type="dxa"/>
            <w:tcBorders>
              <w:top w:val="single" w:sz="4" w:space="0" w:color="auto"/>
              <w:left w:val="nil"/>
              <w:bottom w:val="single" w:sz="4" w:space="0" w:color="auto"/>
              <w:right w:val="single" w:sz="4" w:space="0" w:color="auto"/>
            </w:tcBorders>
            <w:vAlign w:val="bottom"/>
          </w:tcPr>
          <w:p w:rsidR="006034B9" w:rsidRPr="002F6CFD" w:rsidRDefault="006034B9" w:rsidP="002512D2">
            <w:pPr>
              <w:jc w:val="center"/>
              <w:rPr>
                <w:rFonts w:ascii="Arial" w:hAnsi="Arial" w:cs="Arial"/>
              </w:rPr>
            </w:pPr>
            <w:r w:rsidRPr="002F6CFD">
              <w:rPr>
                <w:rFonts w:ascii="Arial" w:hAnsi="Arial" w:cs="Arial"/>
              </w:rPr>
              <w:t>%</w:t>
            </w:r>
          </w:p>
        </w:tc>
        <w:tc>
          <w:tcPr>
            <w:tcW w:w="1620" w:type="dxa"/>
            <w:tcBorders>
              <w:top w:val="single" w:sz="4" w:space="0" w:color="auto"/>
              <w:left w:val="nil"/>
              <w:bottom w:val="single" w:sz="4" w:space="0" w:color="auto"/>
              <w:right w:val="single" w:sz="4" w:space="0" w:color="auto"/>
            </w:tcBorders>
            <w:vAlign w:val="bottom"/>
          </w:tcPr>
          <w:p w:rsidR="006034B9" w:rsidRPr="002F6CFD" w:rsidRDefault="006034B9" w:rsidP="002512D2">
            <w:pPr>
              <w:jc w:val="center"/>
              <w:rPr>
                <w:rFonts w:ascii="Arial" w:hAnsi="Arial" w:cs="Arial"/>
              </w:rPr>
            </w:pPr>
            <w:r w:rsidRPr="002F6CFD">
              <w:rPr>
                <w:rFonts w:ascii="Arial" w:hAnsi="Arial" w:cs="Arial"/>
              </w:rPr>
              <w:t>£000</w:t>
            </w:r>
          </w:p>
        </w:tc>
      </w:tr>
      <w:tr w:rsidR="00D577F3" w:rsidRPr="002F6CFD">
        <w:trPr>
          <w:trHeight w:val="255"/>
        </w:trPr>
        <w:tc>
          <w:tcPr>
            <w:tcW w:w="3425" w:type="dxa"/>
            <w:tcBorders>
              <w:top w:val="single" w:sz="4" w:space="0" w:color="auto"/>
              <w:left w:val="single" w:sz="4" w:space="0" w:color="auto"/>
              <w:bottom w:val="single" w:sz="4" w:space="0" w:color="auto"/>
              <w:right w:val="single" w:sz="4" w:space="0" w:color="auto"/>
            </w:tcBorders>
            <w:noWrap/>
            <w:vAlign w:val="bottom"/>
          </w:tcPr>
          <w:p w:rsidR="00D577F3" w:rsidRPr="002F6CFD" w:rsidRDefault="00827C4A" w:rsidP="00213DA5">
            <w:pPr>
              <w:rPr>
                <w:rFonts w:ascii="Arial" w:hAnsi="Arial" w:cs="Arial"/>
              </w:rPr>
            </w:pPr>
            <w:r w:rsidRPr="002F6CFD">
              <w:rPr>
                <w:rFonts w:ascii="Arial" w:hAnsi="Arial" w:cs="Arial"/>
              </w:rPr>
              <w:t>Pre</w:t>
            </w:r>
            <w:r w:rsidR="00D577F3" w:rsidRPr="002F6CFD">
              <w:rPr>
                <w:rFonts w:ascii="Arial" w:hAnsi="Arial" w:cs="Arial"/>
              </w:rPr>
              <w:t xml:space="preserve"> </w:t>
            </w:r>
            <w:r w:rsidR="002F6CFD">
              <w:rPr>
                <w:rFonts w:ascii="Arial" w:hAnsi="Arial" w:cs="Arial"/>
              </w:rPr>
              <w:t>201</w:t>
            </w:r>
            <w:r w:rsidR="00213DA5">
              <w:rPr>
                <w:rFonts w:ascii="Arial" w:hAnsi="Arial" w:cs="Arial"/>
              </w:rPr>
              <w:t>3</w:t>
            </w:r>
            <w:r w:rsidR="002F6CFD">
              <w:rPr>
                <w:rFonts w:ascii="Arial" w:hAnsi="Arial" w:cs="Arial"/>
              </w:rPr>
              <w:t>-</w:t>
            </w:r>
            <w:r w:rsidR="00276C84">
              <w:rPr>
                <w:rFonts w:ascii="Arial" w:hAnsi="Arial" w:cs="Arial"/>
              </w:rPr>
              <w:t>20</w:t>
            </w:r>
            <w:r w:rsidR="002F6CFD">
              <w:rPr>
                <w:rFonts w:ascii="Arial" w:hAnsi="Arial" w:cs="Arial"/>
              </w:rPr>
              <w:t>1</w:t>
            </w:r>
            <w:r w:rsidR="00213DA5">
              <w:rPr>
                <w:rFonts w:ascii="Arial" w:hAnsi="Arial" w:cs="Arial"/>
              </w:rPr>
              <w:t>4</w:t>
            </w:r>
          </w:p>
        </w:tc>
        <w:tc>
          <w:tcPr>
            <w:tcW w:w="1620" w:type="dxa"/>
            <w:tcBorders>
              <w:top w:val="single" w:sz="4" w:space="0" w:color="auto"/>
              <w:left w:val="nil"/>
              <w:bottom w:val="single" w:sz="4" w:space="0" w:color="auto"/>
              <w:right w:val="single" w:sz="4" w:space="0" w:color="auto"/>
            </w:tcBorders>
            <w:shd w:val="clear" w:color="auto" w:fill="C0C0C0"/>
          </w:tcPr>
          <w:p w:rsidR="00D577F3" w:rsidRPr="002F6CFD" w:rsidRDefault="0033280F" w:rsidP="007D6CEF">
            <w:pPr>
              <w:jc w:val="right"/>
              <w:rPr>
                <w:rFonts w:ascii="Arial" w:hAnsi="Arial" w:cs="Arial"/>
              </w:rPr>
            </w:pPr>
            <w:r>
              <w:rPr>
                <w:rFonts w:ascii="Arial" w:hAnsi="Arial" w:cs="Arial"/>
              </w:rPr>
              <w:t>358</w:t>
            </w:r>
          </w:p>
        </w:tc>
        <w:tc>
          <w:tcPr>
            <w:tcW w:w="1620" w:type="dxa"/>
            <w:tcBorders>
              <w:top w:val="single" w:sz="4" w:space="0" w:color="auto"/>
              <w:left w:val="single" w:sz="4" w:space="0" w:color="auto"/>
              <w:bottom w:val="single" w:sz="4" w:space="0" w:color="auto"/>
              <w:right w:val="single" w:sz="4" w:space="0" w:color="auto"/>
            </w:tcBorders>
          </w:tcPr>
          <w:p w:rsidR="00D577F3" w:rsidRPr="002F6CFD" w:rsidRDefault="00720213" w:rsidP="009F2600">
            <w:pPr>
              <w:jc w:val="right"/>
              <w:rPr>
                <w:rFonts w:ascii="Arial" w:hAnsi="Arial" w:cs="Arial"/>
              </w:rPr>
            </w:pPr>
            <w:r>
              <w:rPr>
                <w:rFonts w:ascii="Arial" w:hAnsi="Arial" w:cs="Arial"/>
              </w:rPr>
              <w:t>2</w:t>
            </w:r>
            <w:r w:rsidR="009F2600">
              <w:rPr>
                <w:rFonts w:ascii="Arial" w:hAnsi="Arial" w:cs="Arial"/>
              </w:rPr>
              <w:t>78</w:t>
            </w:r>
          </w:p>
        </w:tc>
        <w:tc>
          <w:tcPr>
            <w:tcW w:w="1260" w:type="dxa"/>
            <w:tcBorders>
              <w:top w:val="single" w:sz="4" w:space="0" w:color="auto"/>
              <w:left w:val="nil"/>
              <w:bottom w:val="single" w:sz="4" w:space="0" w:color="auto"/>
              <w:right w:val="single" w:sz="4" w:space="0" w:color="auto"/>
            </w:tcBorders>
          </w:tcPr>
          <w:p w:rsidR="00D577F3" w:rsidRPr="002F6CFD" w:rsidRDefault="00D577F3" w:rsidP="002512D2">
            <w:pPr>
              <w:jc w:val="right"/>
              <w:rPr>
                <w:rFonts w:ascii="Arial" w:hAnsi="Arial" w:cs="Arial"/>
              </w:rPr>
            </w:pPr>
            <w:r w:rsidRPr="002F6CFD">
              <w:rPr>
                <w:rFonts w:ascii="Arial" w:hAnsi="Arial" w:cs="Arial"/>
              </w:rPr>
              <w:t>100</w:t>
            </w:r>
          </w:p>
        </w:tc>
        <w:tc>
          <w:tcPr>
            <w:tcW w:w="1620" w:type="dxa"/>
            <w:tcBorders>
              <w:top w:val="single" w:sz="4" w:space="0" w:color="auto"/>
              <w:left w:val="nil"/>
              <w:bottom w:val="single" w:sz="4" w:space="0" w:color="auto"/>
              <w:right w:val="single" w:sz="4" w:space="0" w:color="auto"/>
            </w:tcBorders>
          </w:tcPr>
          <w:p w:rsidR="00D577F3" w:rsidRPr="002F6CFD" w:rsidRDefault="00720213" w:rsidP="009F2600">
            <w:pPr>
              <w:jc w:val="right"/>
              <w:rPr>
                <w:rFonts w:ascii="Arial" w:hAnsi="Arial" w:cs="Arial"/>
              </w:rPr>
            </w:pPr>
            <w:r>
              <w:rPr>
                <w:rFonts w:ascii="Arial" w:hAnsi="Arial" w:cs="Arial"/>
              </w:rPr>
              <w:t>2</w:t>
            </w:r>
            <w:r w:rsidR="009F2600">
              <w:rPr>
                <w:rFonts w:ascii="Arial" w:hAnsi="Arial" w:cs="Arial"/>
              </w:rPr>
              <w:t>78</w:t>
            </w:r>
          </w:p>
        </w:tc>
      </w:tr>
      <w:tr w:rsidR="00D577F3" w:rsidRPr="002F6CFD">
        <w:trPr>
          <w:trHeight w:val="255"/>
        </w:trPr>
        <w:tc>
          <w:tcPr>
            <w:tcW w:w="3425" w:type="dxa"/>
            <w:tcBorders>
              <w:top w:val="single" w:sz="4" w:space="0" w:color="auto"/>
              <w:left w:val="single" w:sz="4" w:space="0" w:color="auto"/>
              <w:bottom w:val="single" w:sz="4" w:space="0" w:color="auto"/>
              <w:right w:val="single" w:sz="4" w:space="0" w:color="auto"/>
            </w:tcBorders>
            <w:noWrap/>
            <w:vAlign w:val="bottom"/>
          </w:tcPr>
          <w:p w:rsidR="00D577F3" w:rsidRPr="002F6CFD" w:rsidRDefault="004E28E0" w:rsidP="00213DA5">
            <w:pPr>
              <w:rPr>
                <w:rFonts w:ascii="Arial" w:hAnsi="Arial" w:cs="Arial"/>
              </w:rPr>
            </w:pPr>
            <w:r>
              <w:rPr>
                <w:rFonts w:ascii="Arial" w:hAnsi="Arial" w:cs="Arial"/>
              </w:rPr>
              <w:t>201</w:t>
            </w:r>
            <w:r w:rsidR="00213DA5">
              <w:rPr>
                <w:rFonts w:ascii="Arial" w:hAnsi="Arial" w:cs="Arial"/>
              </w:rPr>
              <w:t>3</w:t>
            </w:r>
            <w:r>
              <w:rPr>
                <w:rFonts w:ascii="Arial" w:hAnsi="Arial" w:cs="Arial"/>
              </w:rPr>
              <w:t>-201</w:t>
            </w:r>
            <w:r w:rsidR="00213DA5">
              <w:rPr>
                <w:rFonts w:ascii="Arial" w:hAnsi="Arial" w:cs="Arial"/>
              </w:rPr>
              <w:t>4</w:t>
            </w:r>
          </w:p>
        </w:tc>
        <w:tc>
          <w:tcPr>
            <w:tcW w:w="1620" w:type="dxa"/>
            <w:tcBorders>
              <w:top w:val="single" w:sz="4" w:space="0" w:color="auto"/>
              <w:left w:val="nil"/>
              <w:bottom w:val="single" w:sz="4" w:space="0" w:color="auto"/>
              <w:right w:val="nil"/>
            </w:tcBorders>
            <w:shd w:val="clear" w:color="auto" w:fill="C0C0C0"/>
          </w:tcPr>
          <w:p w:rsidR="00D577F3" w:rsidRPr="002F6CFD" w:rsidRDefault="0033280F" w:rsidP="007D6CEF">
            <w:pPr>
              <w:jc w:val="right"/>
              <w:rPr>
                <w:rFonts w:ascii="Arial" w:hAnsi="Arial" w:cs="Arial"/>
              </w:rPr>
            </w:pPr>
            <w:r>
              <w:rPr>
                <w:rFonts w:ascii="Arial" w:hAnsi="Arial" w:cs="Arial"/>
              </w:rPr>
              <w:t>714</w:t>
            </w:r>
          </w:p>
        </w:tc>
        <w:tc>
          <w:tcPr>
            <w:tcW w:w="1620" w:type="dxa"/>
            <w:tcBorders>
              <w:top w:val="single" w:sz="4" w:space="0" w:color="auto"/>
              <w:left w:val="nil"/>
              <w:bottom w:val="single" w:sz="4" w:space="0" w:color="auto"/>
              <w:right w:val="single" w:sz="4" w:space="0" w:color="auto"/>
            </w:tcBorders>
          </w:tcPr>
          <w:p w:rsidR="00D577F3" w:rsidRPr="002F6CFD" w:rsidRDefault="009F2600" w:rsidP="009F2600">
            <w:pPr>
              <w:jc w:val="right"/>
              <w:rPr>
                <w:rFonts w:ascii="Arial" w:hAnsi="Arial" w:cs="Arial"/>
              </w:rPr>
            </w:pPr>
            <w:r>
              <w:rPr>
                <w:rFonts w:ascii="Arial" w:hAnsi="Arial" w:cs="Arial"/>
              </w:rPr>
              <w:t>583</w:t>
            </w:r>
          </w:p>
        </w:tc>
        <w:tc>
          <w:tcPr>
            <w:tcW w:w="1260" w:type="dxa"/>
            <w:tcBorders>
              <w:top w:val="single" w:sz="4" w:space="0" w:color="auto"/>
              <w:left w:val="nil"/>
              <w:bottom w:val="single" w:sz="4" w:space="0" w:color="auto"/>
              <w:right w:val="single" w:sz="4" w:space="0" w:color="auto"/>
            </w:tcBorders>
          </w:tcPr>
          <w:p w:rsidR="00D577F3" w:rsidRPr="002F6CFD" w:rsidRDefault="00543671" w:rsidP="00543671">
            <w:pPr>
              <w:jc w:val="right"/>
              <w:rPr>
                <w:rFonts w:ascii="Arial" w:hAnsi="Arial" w:cs="Arial"/>
              </w:rPr>
            </w:pPr>
            <w:r>
              <w:rPr>
                <w:rFonts w:ascii="Arial" w:hAnsi="Arial" w:cs="Arial"/>
              </w:rPr>
              <w:t>100</w:t>
            </w:r>
          </w:p>
        </w:tc>
        <w:tc>
          <w:tcPr>
            <w:tcW w:w="1620" w:type="dxa"/>
            <w:tcBorders>
              <w:top w:val="single" w:sz="4" w:space="0" w:color="auto"/>
              <w:left w:val="nil"/>
              <w:bottom w:val="single" w:sz="4" w:space="0" w:color="auto"/>
              <w:right w:val="single" w:sz="4" w:space="0" w:color="auto"/>
            </w:tcBorders>
          </w:tcPr>
          <w:p w:rsidR="00D577F3" w:rsidRPr="002F6CFD" w:rsidRDefault="009F2600" w:rsidP="009F2600">
            <w:pPr>
              <w:jc w:val="right"/>
              <w:rPr>
                <w:rFonts w:ascii="Arial" w:hAnsi="Arial" w:cs="Arial"/>
              </w:rPr>
            </w:pPr>
            <w:r>
              <w:rPr>
                <w:rFonts w:ascii="Arial" w:hAnsi="Arial" w:cs="Arial"/>
              </w:rPr>
              <w:t>583</w:t>
            </w:r>
          </w:p>
        </w:tc>
      </w:tr>
      <w:tr w:rsidR="00543671" w:rsidRPr="002F6CFD">
        <w:trPr>
          <w:trHeight w:val="255"/>
        </w:trPr>
        <w:tc>
          <w:tcPr>
            <w:tcW w:w="3425" w:type="dxa"/>
            <w:tcBorders>
              <w:top w:val="single" w:sz="4" w:space="0" w:color="auto"/>
              <w:left w:val="single" w:sz="4" w:space="0" w:color="auto"/>
              <w:bottom w:val="single" w:sz="4" w:space="0" w:color="auto"/>
              <w:right w:val="single" w:sz="4" w:space="0" w:color="auto"/>
            </w:tcBorders>
            <w:noWrap/>
            <w:vAlign w:val="bottom"/>
          </w:tcPr>
          <w:p w:rsidR="00543671" w:rsidRDefault="00543671" w:rsidP="00213DA5">
            <w:pPr>
              <w:rPr>
                <w:rFonts w:ascii="Arial" w:hAnsi="Arial" w:cs="Arial"/>
              </w:rPr>
            </w:pPr>
            <w:r>
              <w:rPr>
                <w:rFonts w:ascii="Arial" w:hAnsi="Arial" w:cs="Arial"/>
              </w:rPr>
              <w:t>2014-2015</w:t>
            </w:r>
          </w:p>
        </w:tc>
        <w:tc>
          <w:tcPr>
            <w:tcW w:w="1620" w:type="dxa"/>
            <w:tcBorders>
              <w:top w:val="single" w:sz="4" w:space="0" w:color="auto"/>
              <w:left w:val="nil"/>
              <w:bottom w:val="single" w:sz="4" w:space="0" w:color="auto"/>
              <w:right w:val="nil"/>
            </w:tcBorders>
            <w:shd w:val="clear" w:color="auto" w:fill="C0C0C0"/>
          </w:tcPr>
          <w:p w:rsidR="00543671" w:rsidRDefault="0033280F" w:rsidP="0033280F">
            <w:pPr>
              <w:jc w:val="right"/>
              <w:rPr>
                <w:rFonts w:ascii="Arial" w:hAnsi="Arial" w:cs="Arial"/>
              </w:rPr>
            </w:pPr>
            <w:r>
              <w:rPr>
                <w:rFonts w:ascii="Arial" w:hAnsi="Arial" w:cs="Arial"/>
              </w:rPr>
              <w:t>2,259</w:t>
            </w:r>
          </w:p>
        </w:tc>
        <w:tc>
          <w:tcPr>
            <w:tcW w:w="1620" w:type="dxa"/>
            <w:tcBorders>
              <w:top w:val="single" w:sz="4" w:space="0" w:color="auto"/>
              <w:left w:val="nil"/>
              <w:bottom w:val="single" w:sz="4" w:space="0" w:color="auto"/>
              <w:right w:val="single" w:sz="4" w:space="0" w:color="auto"/>
            </w:tcBorders>
          </w:tcPr>
          <w:p w:rsidR="00543671" w:rsidRDefault="00720213" w:rsidP="009F2600">
            <w:pPr>
              <w:jc w:val="right"/>
              <w:rPr>
                <w:rFonts w:ascii="Arial" w:hAnsi="Arial" w:cs="Arial"/>
              </w:rPr>
            </w:pPr>
            <w:r>
              <w:rPr>
                <w:rFonts w:ascii="Arial" w:hAnsi="Arial" w:cs="Arial"/>
              </w:rPr>
              <w:t>1,</w:t>
            </w:r>
            <w:r w:rsidR="009F2600">
              <w:rPr>
                <w:rFonts w:ascii="Arial" w:hAnsi="Arial" w:cs="Arial"/>
              </w:rPr>
              <w:t>570</w:t>
            </w:r>
          </w:p>
        </w:tc>
        <w:tc>
          <w:tcPr>
            <w:tcW w:w="1260" w:type="dxa"/>
            <w:tcBorders>
              <w:top w:val="single" w:sz="4" w:space="0" w:color="auto"/>
              <w:left w:val="nil"/>
              <w:bottom w:val="single" w:sz="4" w:space="0" w:color="auto"/>
              <w:right w:val="single" w:sz="4" w:space="0" w:color="auto"/>
            </w:tcBorders>
          </w:tcPr>
          <w:p w:rsidR="00543671" w:rsidRDefault="00543671" w:rsidP="00B1176B">
            <w:pPr>
              <w:jc w:val="right"/>
              <w:rPr>
                <w:rFonts w:ascii="Arial" w:hAnsi="Arial" w:cs="Arial"/>
              </w:rPr>
            </w:pPr>
            <w:r>
              <w:rPr>
                <w:rFonts w:ascii="Arial" w:hAnsi="Arial" w:cs="Arial"/>
              </w:rPr>
              <w:t>50</w:t>
            </w:r>
          </w:p>
        </w:tc>
        <w:tc>
          <w:tcPr>
            <w:tcW w:w="1620" w:type="dxa"/>
            <w:tcBorders>
              <w:top w:val="single" w:sz="4" w:space="0" w:color="auto"/>
              <w:left w:val="nil"/>
              <w:bottom w:val="single" w:sz="4" w:space="0" w:color="auto"/>
              <w:right w:val="single" w:sz="4" w:space="0" w:color="auto"/>
            </w:tcBorders>
          </w:tcPr>
          <w:p w:rsidR="00543671" w:rsidRDefault="009F2600" w:rsidP="00D46403">
            <w:pPr>
              <w:jc w:val="right"/>
              <w:rPr>
                <w:rFonts w:ascii="Arial" w:hAnsi="Arial" w:cs="Arial"/>
              </w:rPr>
            </w:pPr>
            <w:r>
              <w:rPr>
                <w:rFonts w:ascii="Arial" w:hAnsi="Arial" w:cs="Arial"/>
              </w:rPr>
              <w:t>785</w:t>
            </w:r>
          </w:p>
        </w:tc>
      </w:tr>
      <w:tr w:rsidR="00D577F3">
        <w:trPr>
          <w:trHeight w:val="255"/>
        </w:trPr>
        <w:tc>
          <w:tcPr>
            <w:tcW w:w="3425" w:type="dxa"/>
            <w:tcBorders>
              <w:top w:val="single" w:sz="4" w:space="0" w:color="auto"/>
              <w:left w:val="single" w:sz="4" w:space="0" w:color="auto"/>
              <w:bottom w:val="single" w:sz="4" w:space="0" w:color="auto"/>
              <w:right w:val="single" w:sz="4" w:space="0" w:color="auto"/>
            </w:tcBorders>
            <w:noWrap/>
          </w:tcPr>
          <w:p w:rsidR="00D577F3" w:rsidRPr="002F6CFD" w:rsidRDefault="00D577F3" w:rsidP="00D577F3">
            <w:pPr>
              <w:rPr>
                <w:rFonts w:ascii="Arial" w:hAnsi="Arial" w:cs="Arial"/>
                <w:b/>
                <w:bCs/>
              </w:rPr>
            </w:pPr>
            <w:r w:rsidRPr="002F6CFD">
              <w:rPr>
                <w:rFonts w:ascii="Arial" w:hAnsi="Arial" w:cs="Arial"/>
                <w:b/>
                <w:bCs/>
              </w:rPr>
              <w:t>Total</w:t>
            </w:r>
          </w:p>
        </w:tc>
        <w:tc>
          <w:tcPr>
            <w:tcW w:w="1620" w:type="dxa"/>
            <w:tcBorders>
              <w:top w:val="single" w:sz="4" w:space="0" w:color="auto"/>
              <w:left w:val="nil"/>
              <w:bottom w:val="single" w:sz="4" w:space="0" w:color="auto"/>
              <w:right w:val="nil"/>
            </w:tcBorders>
            <w:shd w:val="clear" w:color="auto" w:fill="C0C0C0"/>
          </w:tcPr>
          <w:p w:rsidR="00D577F3" w:rsidRPr="002F6CFD" w:rsidRDefault="00D24BC8" w:rsidP="0033280F">
            <w:pPr>
              <w:jc w:val="right"/>
              <w:rPr>
                <w:rFonts w:ascii="Arial" w:hAnsi="Arial" w:cs="Arial"/>
                <w:b/>
                <w:bCs/>
              </w:rPr>
            </w:pPr>
            <w:r>
              <w:rPr>
                <w:rFonts w:ascii="Arial" w:hAnsi="Arial" w:cs="Arial"/>
                <w:b/>
                <w:bCs/>
              </w:rPr>
              <w:t>3</w:t>
            </w:r>
            <w:r w:rsidR="00276C84">
              <w:rPr>
                <w:rFonts w:ascii="Arial" w:hAnsi="Arial" w:cs="Arial"/>
                <w:b/>
                <w:bCs/>
              </w:rPr>
              <w:t>,</w:t>
            </w:r>
            <w:r w:rsidR="007D6CEF">
              <w:rPr>
                <w:rFonts w:ascii="Arial" w:hAnsi="Arial" w:cs="Arial"/>
                <w:b/>
                <w:bCs/>
              </w:rPr>
              <w:t>3</w:t>
            </w:r>
            <w:r w:rsidR="0033280F">
              <w:rPr>
                <w:rFonts w:ascii="Arial" w:hAnsi="Arial" w:cs="Arial"/>
                <w:b/>
                <w:bCs/>
              </w:rPr>
              <w:t>31</w:t>
            </w:r>
          </w:p>
        </w:tc>
        <w:tc>
          <w:tcPr>
            <w:tcW w:w="1620" w:type="dxa"/>
            <w:tcBorders>
              <w:top w:val="single" w:sz="4" w:space="0" w:color="auto"/>
              <w:left w:val="nil"/>
              <w:bottom w:val="single" w:sz="4" w:space="0" w:color="auto"/>
              <w:right w:val="single" w:sz="4" w:space="0" w:color="auto"/>
            </w:tcBorders>
          </w:tcPr>
          <w:p w:rsidR="00D577F3" w:rsidRPr="002F6CFD" w:rsidRDefault="00720213" w:rsidP="009F2600">
            <w:pPr>
              <w:jc w:val="right"/>
              <w:rPr>
                <w:rFonts w:ascii="Arial" w:hAnsi="Arial" w:cs="Arial"/>
                <w:b/>
                <w:bCs/>
              </w:rPr>
            </w:pPr>
            <w:r>
              <w:rPr>
                <w:rFonts w:ascii="Arial" w:hAnsi="Arial" w:cs="Arial"/>
                <w:b/>
                <w:bCs/>
              </w:rPr>
              <w:t>2</w:t>
            </w:r>
            <w:r w:rsidR="00D577F3" w:rsidRPr="002F6CFD">
              <w:rPr>
                <w:rFonts w:ascii="Arial" w:hAnsi="Arial" w:cs="Arial"/>
                <w:b/>
                <w:bCs/>
              </w:rPr>
              <w:t>,</w:t>
            </w:r>
            <w:r w:rsidR="009F2600">
              <w:rPr>
                <w:rFonts w:ascii="Arial" w:hAnsi="Arial" w:cs="Arial"/>
                <w:b/>
                <w:bCs/>
              </w:rPr>
              <w:t>431</w:t>
            </w:r>
          </w:p>
        </w:tc>
        <w:tc>
          <w:tcPr>
            <w:tcW w:w="1260" w:type="dxa"/>
            <w:tcBorders>
              <w:top w:val="single" w:sz="4" w:space="0" w:color="auto"/>
              <w:left w:val="nil"/>
              <w:bottom w:val="single" w:sz="4" w:space="0" w:color="auto"/>
              <w:right w:val="single" w:sz="4" w:space="0" w:color="auto"/>
            </w:tcBorders>
          </w:tcPr>
          <w:p w:rsidR="00D577F3" w:rsidRPr="002F6CFD" w:rsidRDefault="00D577F3" w:rsidP="00D577F3">
            <w:pPr>
              <w:jc w:val="right"/>
              <w:rPr>
                <w:rFonts w:ascii="Arial" w:hAnsi="Arial" w:cs="Arial"/>
                <w:b/>
                <w:bCs/>
              </w:rPr>
            </w:pPr>
          </w:p>
        </w:tc>
        <w:tc>
          <w:tcPr>
            <w:tcW w:w="1620" w:type="dxa"/>
            <w:tcBorders>
              <w:top w:val="single" w:sz="4" w:space="0" w:color="auto"/>
              <w:left w:val="nil"/>
              <w:bottom w:val="single" w:sz="4" w:space="0" w:color="auto"/>
              <w:right w:val="single" w:sz="4" w:space="0" w:color="auto"/>
            </w:tcBorders>
          </w:tcPr>
          <w:p w:rsidR="00D577F3" w:rsidRDefault="00006233" w:rsidP="009F2600">
            <w:pPr>
              <w:jc w:val="right"/>
              <w:rPr>
                <w:rFonts w:ascii="Arial" w:hAnsi="Arial" w:cs="Arial"/>
                <w:b/>
                <w:bCs/>
              </w:rPr>
            </w:pPr>
            <w:r>
              <w:rPr>
                <w:rFonts w:ascii="Arial" w:hAnsi="Arial" w:cs="Arial"/>
                <w:b/>
                <w:bCs/>
              </w:rPr>
              <w:t>1</w:t>
            </w:r>
            <w:r w:rsidR="00D577F3" w:rsidRPr="002F6CFD">
              <w:rPr>
                <w:rFonts w:ascii="Arial" w:hAnsi="Arial" w:cs="Arial"/>
                <w:b/>
                <w:bCs/>
              </w:rPr>
              <w:t>,</w:t>
            </w:r>
            <w:r w:rsidR="009F2600">
              <w:rPr>
                <w:rFonts w:ascii="Arial" w:hAnsi="Arial" w:cs="Arial"/>
                <w:b/>
                <w:bCs/>
              </w:rPr>
              <w:t>646</w:t>
            </w:r>
          </w:p>
        </w:tc>
      </w:tr>
    </w:tbl>
    <w:p w:rsidR="00827C4A" w:rsidRDefault="00827C4A" w:rsidP="00237BA3">
      <w:pPr>
        <w:rPr>
          <w:rFonts w:ascii="Arial" w:hAnsi="Arial" w:cs="Arial"/>
          <w:b/>
        </w:rPr>
      </w:pPr>
    </w:p>
    <w:p w:rsidR="00382D5C" w:rsidRDefault="00382D5C" w:rsidP="00237BA3">
      <w:pPr>
        <w:rPr>
          <w:rFonts w:ascii="Arial" w:hAnsi="Arial" w:cs="Arial"/>
          <w:b/>
        </w:rPr>
      </w:pPr>
      <w:r w:rsidRPr="000D499C">
        <w:rPr>
          <w:rFonts w:ascii="Arial" w:hAnsi="Arial" w:cs="Arial"/>
          <w:b/>
        </w:rPr>
        <w:t>Council Tax and Business Rate</w:t>
      </w:r>
      <w:r w:rsidR="000D499C">
        <w:rPr>
          <w:rFonts w:ascii="Arial" w:hAnsi="Arial" w:cs="Arial"/>
          <w:b/>
        </w:rPr>
        <w:t>s</w:t>
      </w:r>
      <w:r w:rsidRPr="000D499C">
        <w:rPr>
          <w:rFonts w:ascii="Arial" w:hAnsi="Arial" w:cs="Arial"/>
          <w:b/>
        </w:rPr>
        <w:t xml:space="preserve"> Court Cost</w:t>
      </w:r>
    </w:p>
    <w:p w:rsidR="00827C4A" w:rsidRDefault="00827C4A" w:rsidP="00A6724C">
      <w:pPr>
        <w:ind w:right="-99"/>
        <w:rPr>
          <w:rFonts w:ascii="Arial" w:hAnsi="Arial" w:cs="Arial"/>
          <w:lang w:val="en-US"/>
        </w:rPr>
      </w:pPr>
      <w:r w:rsidRPr="00827C4A">
        <w:rPr>
          <w:rFonts w:ascii="Arial" w:hAnsi="Arial" w:cs="Arial"/>
          <w:lang w:val="en-US"/>
        </w:rPr>
        <w:t xml:space="preserve">Currently, bad debt provisions (BDP) of </w:t>
      </w:r>
      <w:r w:rsidRPr="00232CAA">
        <w:rPr>
          <w:rFonts w:ascii="Arial" w:hAnsi="Arial" w:cs="Arial"/>
          <w:lang w:val="en-US"/>
        </w:rPr>
        <w:t>£</w:t>
      </w:r>
      <w:r w:rsidR="00452D68" w:rsidRPr="00232CAA">
        <w:rPr>
          <w:rFonts w:ascii="Arial" w:hAnsi="Arial" w:cs="Arial"/>
          <w:lang w:val="en-US"/>
        </w:rPr>
        <w:t>950</w:t>
      </w:r>
      <w:r w:rsidR="00987AA6" w:rsidRPr="00232CAA">
        <w:rPr>
          <w:rFonts w:ascii="Arial" w:hAnsi="Arial" w:cs="Arial"/>
          <w:lang w:val="en-US"/>
        </w:rPr>
        <w:t>k</w:t>
      </w:r>
      <w:r w:rsidR="005B2ED7">
        <w:rPr>
          <w:rFonts w:ascii="Arial" w:hAnsi="Arial" w:cs="Arial"/>
          <w:lang w:val="en-US"/>
        </w:rPr>
        <w:t xml:space="preserve"> (</w:t>
      </w:r>
      <w:r w:rsidR="005B2ED7" w:rsidRPr="00750E63">
        <w:rPr>
          <w:rFonts w:ascii="Arial" w:hAnsi="Arial" w:cs="Arial"/>
          <w:b/>
          <w:lang w:val="en-US"/>
        </w:rPr>
        <w:t>CT £</w:t>
      </w:r>
      <w:r w:rsidR="00452D68" w:rsidRPr="00750E63">
        <w:rPr>
          <w:rFonts w:ascii="Arial" w:hAnsi="Arial" w:cs="Arial"/>
          <w:b/>
          <w:lang w:val="en-US"/>
        </w:rPr>
        <w:t>850</w:t>
      </w:r>
      <w:r w:rsidR="005B2ED7" w:rsidRPr="00750E63">
        <w:rPr>
          <w:rFonts w:ascii="Arial" w:hAnsi="Arial" w:cs="Arial"/>
          <w:b/>
          <w:lang w:val="en-US"/>
        </w:rPr>
        <w:t>k+ NDR £</w:t>
      </w:r>
      <w:r w:rsidR="00452D68" w:rsidRPr="00750E63">
        <w:rPr>
          <w:rFonts w:ascii="Arial" w:hAnsi="Arial" w:cs="Arial"/>
          <w:b/>
          <w:lang w:val="en-US"/>
        </w:rPr>
        <w:t>100</w:t>
      </w:r>
      <w:r w:rsidR="005B2ED7" w:rsidRPr="00750E63">
        <w:rPr>
          <w:rFonts w:ascii="Arial" w:hAnsi="Arial" w:cs="Arial"/>
          <w:b/>
          <w:lang w:val="en-US"/>
        </w:rPr>
        <w:t>k</w:t>
      </w:r>
      <w:r w:rsidR="005B2ED7">
        <w:rPr>
          <w:rFonts w:ascii="Arial" w:hAnsi="Arial" w:cs="Arial"/>
          <w:lang w:val="en-US"/>
        </w:rPr>
        <w:t>)</w:t>
      </w:r>
      <w:r w:rsidR="00DC1480">
        <w:rPr>
          <w:rFonts w:ascii="Arial" w:hAnsi="Arial" w:cs="Arial"/>
          <w:lang w:val="en-US"/>
        </w:rPr>
        <w:t xml:space="preserve"> e</w:t>
      </w:r>
      <w:r w:rsidRPr="00827C4A">
        <w:rPr>
          <w:rFonts w:ascii="Arial" w:hAnsi="Arial" w:cs="Arial"/>
          <w:lang w:val="en-US"/>
        </w:rPr>
        <w:t>xist</w:t>
      </w:r>
      <w:r w:rsidR="00DC1480">
        <w:rPr>
          <w:rFonts w:ascii="Arial" w:hAnsi="Arial" w:cs="Arial"/>
          <w:lang w:val="en-US"/>
        </w:rPr>
        <w:t>s</w:t>
      </w:r>
      <w:r>
        <w:rPr>
          <w:rFonts w:ascii="Arial" w:hAnsi="Arial" w:cs="Arial"/>
          <w:lang w:val="en-US"/>
        </w:rPr>
        <w:t xml:space="preserve"> </w:t>
      </w:r>
      <w:r w:rsidRPr="00827C4A">
        <w:rPr>
          <w:rFonts w:ascii="Arial" w:hAnsi="Arial" w:cs="Arial"/>
          <w:lang w:val="en-US"/>
        </w:rPr>
        <w:t>for C</w:t>
      </w:r>
      <w:r>
        <w:rPr>
          <w:rFonts w:ascii="Arial" w:hAnsi="Arial" w:cs="Arial"/>
          <w:lang w:val="en-US"/>
        </w:rPr>
        <w:t>ourt Costs</w:t>
      </w:r>
      <w:r w:rsidRPr="00827C4A">
        <w:rPr>
          <w:rFonts w:ascii="Arial" w:hAnsi="Arial" w:cs="Arial"/>
          <w:lang w:val="en-US"/>
        </w:rPr>
        <w:t xml:space="preserve"> against a potential BDP of</w:t>
      </w:r>
      <w:r w:rsidRPr="0022513F">
        <w:rPr>
          <w:rFonts w:ascii="Arial" w:hAnsi="Arial" w:cs="Arial"/>
          <w:color w:val="FF0000"/>
          <w:lang w:val="en-US"/>
        </w:rPr>
        <w:t xml:space="preserve"> </w:t>
      </w:r>
      <w:r w:rsidR="004F70C0" w:rsidRPr="00232CAA">
        <w:rPr>
          <w:rFonts w:ascii="Arial" w:hAnsi="Arial" w:cs="Arial"/>
          <w:lang w:val="en-US"/>
        </w:rPr>
        <w:t>£</w:t>
      </w:r>
      <w:r w:rsidR="00233BC2">
        <w:rPr>
          <w:rFonts w:ascii="Arial" w:hAnsi="Arial" w:cs="Arial"/>
          <w:lang w:val="en-US"/>
        </w:rPr>
        <w:t>933</w:t>
      </w:r>
      <w:r w:rsidR="007F61F4" w:rsidRPr="00232CAA">
        <w:rPr>
          <w:rFonts w:ascii="Arial" w:hAnsi="Arial" w:cs="Arial"/>
          <w:lang w:val="en-US"/>
        </w:rPr>
        <w:t>k</w:t>
      </w:r>
      <w:r w:rsidRPr="005B2ED7">
        <w:rPr>
          <w:rFonts w:ascii="Arial" w:hAnsi="Arial" w:cs="Arial"/>
          <w:color w:val="FF0000"/>
          <w:lang w:val="en-US"/>
        </w:rPr>
        <w:t>.</w:t>
      </w:r>
      <w:r w:rsidRPr="0022513F">
        <w:rPr>
          <w:rFonts w:ascii="Arial" w:hAnsi="Arial" w:cs="Arial"/>
          <w:color w:val="FF0000"/>
          <w:lang w:val="en-US"/>
        </w:rPr>
        <w:t xml:space="preserve"> </w:t>
      </w:r>
      <w:r>
        <w:rPr>
          <w:rFonts w:ascii="Arial" w:hAnsi="Arial" w:cs="Arial"/>
          <w:lang w:val="en-US"/>
        </w:rPr>
        <w:t xml:space="preserve"> From previous years trends, this amount of provision appears to be adequate and in line with our overall provisions policy.</w:t>
      </w:r>
    </w:p>
    <w:p w:rsidR="00E04727" w:rsidRDefault="00E04727" w:rsidP="007D2A81">
      <w:pPr>
        <w:ind w:right="-720"/>
        <w:rPr>
          <w:rFonts w:ascii="Arial" w:hAnsi="Arial" w:cs="Arial"/>
          <w:lang w:val="en-US"/>
        </w:rPr>
      </w:pPr>
    </w:p>
    <w:tbl>
      <w:tblPr>
        <w:tblW w:w="9545" w:type="dxa"/>
        <w:tblInd w:w="103" w:type="dxa"/>
        <w:tblLayout w:type="fixed"/>
        <w:tblLook w:val="0000" w:firstRow="0" w:lastRow="0" w:firstColumn="0" w:lastColumn="0" w:noHBand="0" w:noVBand="0"/>
      </w:tblPr>
      <w:tblGrid>
        <w:gridCol w:w="3425"/>
        <w:gridCol w:w="1440"/>
        <w:gridCol w:w="1620"/>
        <w:gridCol w:w="1260"/>
        <w:gridCol w:w="1800"/>
      </w:tblGrid>
      <w:tr w:rsidR="00D577F3" w:rsidRPr="007D2A81">
        <w:trPr>
          <w:trHeight w:val="421"/>
        </w:trPr>
        <w:tc>
          <w:tcPr>
            <w:tcW w:w="3425" w:type="dxa"/>
            <w:tcBorders>
              <w:top w:val="single" w:sz="4" w:space="0" w:color="auto"/>
              <w:left w:val="single" w:sz="4" w:space="0" w:color="auto"/>
              <w:bottom w:val="single" w:sz="4" w:space="0" w:color="auto"/>
              <w:right w:val="single" w:sz="4" w:space="0" w:color="auto"/>
            </w:tcBorders>
            <w:noWrap/>
          </w:tcPr>
          <w:p w:rsidR="00D577F3" w:rsidRPr="007D2A81" w:rsidRDefault="00D577F3" w:rsidP="000E0EB9">
            <w:pPr>
              <w:rPr>
                <w:rFonts w:ascii="Arial" w:hAnsi="Arial" w:cs="Arial"/>
                <w:b/>
                <w:sz w:val="20"/>
                <w:szCs w:val="20"/>
              </w:rPr>
            </w:pPr>
            <w:r w:rsidRPr="007D2A81">
              <w:rPr>
                <w:rFonts w:ascii="Arial" w:hAnsi="Arial" w:cs="Arial"/>
                <w:b/>
                <w:sz w:val="20"/>
                <w:szCs w:val="20"/>
              </w:rPr>
              <w:t>Court Cost</w:t>
            </w:r>
          </w:p>
        </w:tc>
        <w:tc>
          <w:tcPr>
            <w:tcW w:w="1440" w:type="dxa"/>
            <w:tcBorders>
              <w:top w:val="single" w:sz="4" w:space="0" w:color="auto"/>
              <w:left w:val="nil"/>
              <w:bottom w:val="single" w:sz="4" w:space="0" w:color="auto"/>
              <w:right w:val="nil"/>
            </w:tcBorders>
          </w:tcPr>
          <w:p w:rsidR="00D577F3" w:rsidRPr="007D2A81" w:rsidRDefault="00D577F3" w:rsidP="00D577F3">
            <w:pPr>
              <w:ind w:right="-108"/>
              <w:jc w:val="center"/>
              <w:rPr>
                <w:rFonts w:ascii="Arial" w:hAnsi="Arial" w:cs="Arial"/>
                <w:sz w:val="20"/>
                <w:szCs w:val="20"/>
              </w:rPr>
            </w:pPr>
            <w:r w:rsidRPr="007D2A81">
              <w:rPr>
                <w:rFonts w:ascii="Arial" w:hAnsi="Arial" w:cs="Arial"/>
                <w:sz w:val="20"/>
                <w:szCs w:val="20"/>
              </w:rPr>
              <w:t>Arrears as at 1</w:t>
            </w:r>
            <w:r w:rsidRPr="007D2A81">
              <w:rPr>
                <w:rFonts w:ascii="Arial" w:hAnsi="Arial" w:cs="Arial"/>
                <w:sz w:val="20"/>
                <w:szCs w:val="20"/>
                <w:vertAlign w:val="superscript"/>
              </w:rPr>
              <w:t>st</w:t>
            </w:r>
            <w:r w:rsidRPr="007D2A81">
              <w:rPr>
                <w:rFonts w:ascii="Arial" w:hAnsi="Arial" w:cs="Arial"/>
                <w:sz w:val="20"/>
                <w:szCs w:val="20"/>
              </w:rPr>
              <w:t xml:space="preserve"> of April</w:t>
            </w:r>
          </w:p>
        </w:tc>
        <w:tc>
          <w:tcPr>
            <w:tcW w:w="1620" w:type="dxa"/>
            <w:tcBorders>
              <w:top w:val="single" w:sz="4" w:space="0" w:color="auto"/>
              <w:left w:val="nil"/>
              <w:bottom w:val="single" w:sz="4" w:space="0" w:color="auto"/>
              <w:right w:val="single" w:sz="4" w:space="0" w:color="auto"/>
            </w:tcBorders>
          </w:tcPr>
          <w:p w:rsidR="00D577F3" w:rsidRPr="007D2A81" w:rsidRDefault="00D577F3" w:rsidP="00006233">
            <w:pPr>
              <w:jc w:val="center"/>
              <w:rPr>
                <w:rFonts w:ascii="Arial" w:hAnsi="Arial" w:cs="Arial"/>
                <w:sz w:val="20"/>
                <w:szCs w:val="20"/>
              </w:rPr>
            </w:pPr>
            <w:r w:rsidRPr="007D2A81">
              <w:rPr>
                <w:rFonts w:ascii="Arial" w:hAnsi="Arial" w:cs="Arial"/>
                <w:sz w:val="20"/>
                <w:szCs w:val="20"/>
              </w:rPr>
              <w:t xml:space="preserve">Arrears as at Qtr </w:t>
            </w:r>
            <w:r w:rsidR="00EF135F">
              <w:rPr>
                <w:rFonts w:ascii="Arial" w:hAnsi="Arial" w:cs="Arial"/>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577F3" w:rsidRPr="007D2A81" w:rsidRDefault="00D577F3" w:rsidP="000E0EB9">
            <w:pPr>
              <w:jc w:val="center"/>
              <w:rPr>
                <w:rFonts w:ascii="Arial" w:hAnsi="Arial" w:cs="Arial"/>
                <w:sz w:val="20"/>
                <w:szCs w:val="20"/>
              </w:rPr>
            </w:pPr>
            <w:r w:rsidRPr="007D2A81">
              <w:rPr>
                <w:rFonts w:ascii="Arial" w:hAnsi="Arial" w:cs="Arial"/>
                <w:sz w:val="20"/>
                <w:szCs w:val="20"/>
              </w:rPr>
              <w:t xml:space="preserve">BDP </w:t>
            </w:r>
          </w:p>
        </w:tc>
        <w:tc>
          <w:tcPr>
            <w:tcW w:w="1800" w:type="dxa"/>
            <w:tcBorders>
              <w:top w:val="single" w:sz="4" w:space="0" w:color="auto"/>
              <w:left w:val="single" w:sz="4" w:space="0" w:color="auto"/>
              <w:bottom w:val="single" w:sz="4" w:space="0" w:color="auto"/>
              <w:right w:val="single" w:sz="4" w:space="0" w:color="auto"/>
            </w:tcBorders>
          </w:tcPr>
          <w:p w:rsidR="00D577F3" w:rsidRPr="007D2A81" w:rsidRDefault="00D577F3" w:rsidP="00006233">
            <w:pPr>
              <w:jc w:val="center"/>
              <w:rPr>
                <w:rFonts w:ascii="Arial" w:hAnsi="Arial" w:cs="Arial"/>
                <w:sz w:val="20"/>
                <w:szCs w:val="20"/>
              </w:rPr>
            </w:pPr>
            <w:r w:rsidRPr="007D2A81">
              <w:rPr>
                <w:rFonts w:ascii="Arial" w:hAnsi="Arial" w:cs="Arial"/>
                <w:b/>
                <w:sz w:val="20"/>
                <w:szCs w:val="20"/>
              </w:rPr>
              <w:t>BD</w:t>
            </w:r>
            <w:r w:rsidR="00E04727">
              <w:rPr>
                <w:rFonts w:ascii="Arial" w:hAnsi="Arial" w:cs="Arial"/>
                <w:b/>
                <w:sz w:val="20"/>
                <w:szCs w:val="20"/>
              </w:rPr>
              <w:t>P</w:t>
            </w:r>
            <w:r w:rsidRPr="007D2A81">
              <w:rPr>
                <w:rFonts w:ascii="Arial" w:hAnsi="Arial" w:cs="Arial"/>
                <w:b/>
                <w:sz w:val="20"/>
                <w:szCs w:val="20"/>
              </w:rPr>
              <w:t xml:space="preserve"> as at Qtr </w:t>
            </w:r>
            <w:r w:rsidR="00EF135F">
              <w:rPr>
                <w:rFonts w:ascii="Arial" w:hAnsi="Arial" w:cs="Arial"/>
                <w:b/>
                <w:sz w:val="20"/>
                <w:szCs w:val="20"/>
              </w:rPr>
              <w:t>2</w:t>
            </w:r>
          </w:p>
        </w:tc>
      </w:tr>
      <w:tr w:rsidR="000D499C">
        <w:trPr>
          <w:trHeight w:val="170"/>
        </w:trPr>
        <w:tc>
          <w:tcPr>
            <w:tcW w:w="3425" w:type="dxa"/>
            <w:tcBorders>
              <w:top w:val="nil"/>
              <w:left w:val="single" w:sz="4" w:space="0" w:color="auto"/>
              <w:bottom w:val="single" w:sz="4" w:space="0" w:color="auto"/>
              <w:right w:val="single" w:sz="4" w:space="0" w:color="auto"/>
            </w:tcBorders>
            <w:noWrap/>
            <w:vAlign w:val="bottom"/>
          </w:tcPr>
          <w:p w:rsidR="000D499C" w:rsidRDefault="000D499C" w:rsidP="000E0EB9">
            <w:pPr>
              <w:rPr>
                <w:rFonts w:ascii="Arial" w:hAnsi="Arial" w:cs="Arial"/>
              </w:rPr>
            </w:pPr>
          </w:p>
        </w:tc>
        <w:tc>
          <w:tcPr>
            <w:tcW w:w="1440" w:type="dxa"/>
            <w:tcBorders>
              <w:top w:val="nil"/>
              <w:left w:val="nil"/>
              <w:bottom w:val="single" w:sz="4" w:space="0" w:color="auto"/>
              <w:right w:val="nil"/>
            </w:tcBorders>
            <w:vAlign w:val="bottom"/>
          </w:tcPr>
          <w:p w:rsidR="000D499C" w:rsidRDefault="000D499C" w:rsidP="000E0EB9">
            <w:pPr>
              <w:jc w:val="center"/>
              <w:rPr>
                <w:rFonts w:ascii="Arial" w:hAnsi="Arial" w:cs="Arial"/>
              </w:rPr>
            </w:pPr>
            <w:r>
              <w:rPr>
                <w:rFonts w:ascii="Arial" w:hAnsi="Arial" w:cs="Arial"/>
              </w:rPr>
              <w:t>£000</w:t>
            </w:r>
          </w:p>
        </w:tc>
        <w:tc>
          <w:tcPr>
            <w:tcW w:w="1620" w:type="dxa"/>
            <w:tcBorders>
              <w:top w:val="single" w:sz="4" w:space="0" w:color="auto"/>
              <w:left w:val="nil"/>
              <w:bottom w:val="single" w:sz="4" w:space="0" w:color="auto"/>
              <w:right w:val="single" w:sz="4" w:space="0" w:color="auto"/>
            </w:tcBorders>
            <w:vAlign w:val="bottom"/>
          </w:tcPr>
          <w:p w:rsidR="000D499C" w:rsidRDefault="000D499C" w:rsidP="000E0EB9">
            <w:pPr>
              <w:jc w:val="center"/>
              <w:rPr>
                <w:rFonts w:ascii="Arial" w:hAnsi="Arial" w:cs="Arial"/>
              </w:rPr>
            </w:pPr>
            <w:r>
              <w:rPr>
                <w:rFonts w:ascii="Arial" w:hAnsi="Arial" w:cs="Arial"/>
              </w:rPr>
              <w:t>£000</w:t>
            </w:r>
          </w:p>
        </w:tc>
        <w:tc>
          <w:tcPr>
            <w:tcW w:w="1260" w:type="dxa"/>
            <w:tcBorders>
              <w:top w:val="nil"/>
              <w:left w:val="single" w:sz="4" w:space="0" w:color="auto"/>
              <w:bottom w:val="single" w:sz="4" w:space="0" w:color="auto"/>
              <w:right w:val="single" w:sz="4" w:space="0" w:color="auto"/>
            </w:tcBorders>
            <w:vAlign w:val="bottom"/>
          </w:tcPr>
          <w:p w:rsidR="000D499C" w:rsidRDefault="000D499C" w:rsidP="000E0EB9">
            <w:pPr>
              <w:jc w:val="center"/>
              <w:rPr>
                <w:rFonts w:ascii="Arial" w:hAnsi="Arial" w:cs="Arial"/>
              </w:rPr>
            </w:pPr>
            <w:r>
              <w:rPr>
                <w:rFonts w:ascii="Arial" w:hAnsi="Arial" w:cs="Arial"/>
              </w:rPr>
              <w:t>%</w:t>
            </w:r>
          </w:p>
        </w:tc>
        <w:tc>
          <w:tcPr>
            <w:tcW w:w="1800" w:type="dxa"/>
            <w:tcBorders>
              <w:top w:val="single" w:sz="4" w:space="0" w:color="auto"/>
              <w:left w:val="nil"/>
              <w:bottom w:val="single" w:sz="4" w:space="0" w:color="auto"/>
              <w:right w:val="single" w:sz="4" w:space="0" w:color="auto"/>
            </w:tcBorders>
            <w:vAlign w:val="bottom"/>
          </w:tcPr>
          <w:p w:rsidR="000D499C" w:rsidRDefault="000D499C" w:rsidP="000E0EB9">
            <w:pPr>
              <w:jc w:val="center"/>
              <w:rPr>
                <w:rFonts w:ascii="Arial" w:hAnsi="Arial" w:cs="Arial"/>
              </w:rPr>
            </w:pPr>
            <w:r>
              <w:rPr>
                <w:rFonts w:ascii="Arial" w:hAnsi="Arial" w:cs="Arial"/>
              </w:rPr>
              <w:t>£000</w:t>
            </w:r>
          </w:p>
        </w:tc>
      </w:tr>
      <w:tr w:rsidR="00E32645">
        <w:trPr>
          <w:trHeight w:val="170"/>
        </w:trPr>
        <w:tc>
          <w:tcPr>
            <w:tcW w:w="3425" w:type="dxa"/>
            <w:tcBorders>
              <w:top w:val="nil"/>
              <w:left w:val="single" w:sz="4" w:space="0" w:color="auto"/>
              <w:bottom w:val="single" w:sz="4" w:space="0" w:color="auto"/>
              <w:right w:val="single" w:sz="4" w:space="0" w:color="auto"/>
            </w:tcBorders>
            <w:noWrap/>
            <w:vAlign w:val="bottom"/>
          </w:tcPr>
          <w:p w:rsidR="00E32645" w:rsidRDefault="00E32645" w:rsidP="005375C6">
            <w:pPr>
              <w:rPr>
                <w:rFonts w:ascii="Arial" w:hAnsi="Arial" w:cs="Arial"/>
              </w:rPr>
            </w:pPr>
            <w:r>
              <w:rPr>
                <w:rFonts w:ascii="Arial" w:hAnsi="Arial" w:cs="Arial"/>
              </w:rPr>
              <w:t>Pre 20</w:t>
            </w:r>
            <w:r w:rsidR="005B2ED7">
              <w:rPr>
                <w:rFonts w:ascii="Arial" w:hAnsi="Arial" w:cs="Arial"/>
              </w:rPr>
              <w:t>1</w:t>
            </w:r>
            <w:r w:rsidR="005375C6">
              <w:rPr>
                <w:rFonts w:ascii="Arial" w:hAnsi="Arial" w:cs="Arial"/>
              </w:rPr>
              <w:t>2</w:t>
            </w:r>
            <w:r>
              <w:rPr>
                <w:rFonts w:ascii="Arial" w:hAnsi="Arial" w:cs="Arial"/>
              </w:rPr>
              <w:t>-20</w:t>
            </w:r>
            <w:r w:rsidR="006C19FB">
              <w:rPr>
                <w:rFonts w:ascii="Arial" w:hAnsi="Arial" w:cs="Arial"/>
              </w:rPr>
              <w:t>1</w:t>
            </w:r>
            <w:r w:rsidR="005375C6">
              <w:rPr>
                <w:rFonts w:ascii="Arial" w:hAnsi="Arial" w:cs="Arial"/>
              </w:rPr>
              <w:t>3</w:t>
            </w:r>
            <w:r>
              <w:rPr>
                <w:rFonts w:ascii="Arial" w:hAnsi="Arial" w:cs="Arial"/>
              </w:rPr>
              <w:t xml:space="preserve"> </w:t>
            </w:r>
          </w:p>
        </w:tc>
        <w:tc>
          <w:tcPr>
            <w:tcW w:w="1440" w:type="dxa"/>
            <w:tcBorders>
              <w:top w:val="nil"/>
              <w:left w:val="nil"/>
              <w:bottom w:val="single" w:sz="4" w:space="0" w:color="auto"/>
              <w:right w:val="nil"/>
            </w:tcBorders>
            <w:shd w:val="clear" w:color="auto" w:fill="C0C0C0"/>
          </w:tcPr>
          <w:p w:rsidR="00E32645" w:rsidRDefault="0033280F" w:rsidP="0033280F">
            <w:pPr>
              <w:jc w:val="right"/>
              <w:rPr>
                <w:rFonts w:ascii="Arial" w:hAnsi="Arial" w:cs="Arial"/>
              </w:rPr>
            </w:pPr>
            <w:r>
              <w:rPr>
                <w:rFonts w:ascii="Arial" w:hAnsi="Arial" w:cs="Arial"/>
              </w:rPr>
              <w:t>136</w:t>
            </w:r>
          </w:p>
        </w:tc>
        <w:tc>
          <w:tcPr>
            <w:tcW w:w="1620" w:type="dxa"/>
            <w:tcBorders>
              <w:top w:val="single" w:sz="4" w:space="0" w:color="auto"/>
              <w:left w:val="nil"/>
              <w:bottom w:val="single" w:sz="4" w:space="0" w:color="auto"/>
              <w:right w:val="single" w:sz="4" w:space="0" w:color="auto"/>
            </w:tcBorders>
          </w:tcPr>
          <w:p w:rsidR="00E32645" w:rsidRDefault="00006763" w:rsidP="00E0171C">
            <w:pPr>
              <w:jc w:val="right"/>
              <w:rPr>
                <w:rFonts w:ascii="Arial" w:hAnsi="Arial" w:cs="Arial"/>
              </w:rPr>
            </w:pPr>
            <w:r>
              <w:rPr>
                <w:rFonts w:ascii="Arial" w:hAnsi="Arial" w:cs="Arial"/>
              </w:rPr>
              <w:t>197</w:t>
            </w:r>
          </w:p>
        </w:tc>
        <w:tc>
          <w:tcPr>
            <w:tcW w:w="1260" w:type="dxa"/>
            <w:tcBorders>
              <w:top w:val="nil"/>
              <w:left w:val="single" w:sz="4" w:space="0" w:color="auto"/>
              <w:bottom w:val="single" w:sz="4" w:space="0" w:color="auto"/>
              <w:right w:val="single" w:sz="4" w:space="0" w:color="auto"/>
            </w:tcBorders>
          </w:tcPr>
          <w:p w:rsidR="00E32645" w:rsidRDefault="00E32645" w:rsidP="00BD07D4">
            <w:pPr>
              <w:jc w:val="right"/>
              <w:rPr>
                <w:rFonts w:ascii="Arial" w:hAnsi="Arial" w:cs="Arial"/>
              </w:rPr>
            </w:pPr>
            <w:r>
              <w:rPr>
                <w:rFonts w:ascii="Arial" w:hAnsi="Arial" w:cs="Arial"/>
              </w:rPr>
              <w:t>100</w:t>
            </w:r>
          </w:p>
        </w:tc>
        <w:tc>
          <w:tcPr>
            <w:tcW w:w="1800" w:type="dxa"/>
            <w:tcBorders>
              <w:top w:val="single" w:sz="4" w:space="0" w:color="auto"/>
              <w:left w:val="nil"/>
              <w:bottom w:val="single" w:sz="4" w:space="0" w:color="auto"/>
              <w:right w:val="single" w:sz="4" w:space="0" w:color="auto"/>
            </w:tcBorders>
          </w:tcPr>
          <w:p w:rsidR="00E32645" w:rsidRDefault="00006763" w:rsidP="00006233">
            <w:pPr>
              <w:jc w:val="right"/>
              <w:rPr>
                <w:rFonts w:ascii="Arial" w:hAnsi="Arial" w:cs="Arial"/>
              </w:rPr>
            </w:pPr>
            <w:r>
              <w:rPr>
                <w:rFonts w:ascii="Arial" w:hAnsi="Arial" w:cs="Arial"/>
              </w:rPr>
              <w:t>197</w:t>
            </w:r>
          </w:p>
        </w:tc>
      </w:tr>
      <w:tr w:rsidR="00E32645">
        <w:trPr>
          <w:trHeight w:val="255"/>
        </w:trPr>
        <w:tc>
          <w:tcPr>
            <w:tcW w:w="3425" w:type="dxa"/>
            <w:tcBorders>
              <w:top w:val="nil"/>
              <w:left w:val="single" w:sz="4" w:space="0" w:color="auto"/>
              <w:bottom w:val="single" w:sz="4" w:space="0" w:color="auto"/>
              <w:right w:val="single" w:sz="4" w:space="0" w:color="auto"/>
            </w:tcBorders>
            <w:noWrap/>
            <w:vAlign w:val="bottom"/>
          </w:tcPr>
          <w:p w:rsidR="00E32645" w:rsidRDefault="00E32645" w:rsidP="005375C6">
            <w:pPr>
              <w:rPr>
                <w:rFonts w:ascii="Arial" w:hAnsi="Arial" w:cs="Arial"/>
              </w:rPr>
            </w:pPr>
            <w:r>
              <w:rPr>
                <w:rFonts w:ascii="Arial" w:hAnsi="Arial" w:cs="Arial"/>
              </w:rPr>
              <w:t>20</w:t>
            </w:r>
            <w:r w:rsidR="005B2ED7">
              <w:rPr>
                <w:rFonts w:ascii="Arial" w:hAnsi="Arial" w:cs="Arial"/>
              </w:rPr>
              <w:t>1</w:t>
            </w:r>
            <w:r w:rsidR="005375C6">
              <w:rPr>
                <w:rFonts w:ascii="Arial" w:hAnsi="Arial" w:cs="Arial"/>
              </w:rPr>
              <w:t>2</w:t>
            </w:r>
            <w:r>
              <w:rPr>
                <w:rFonts w:ascii="Arial" w:hAnsi="Arial" w:cs="Arial"/>
              </w:rPr>
              <w:t>-20</w:t>
            </w:r>
            <w:r w:rsidR="006C19FB">
              <w:rPr>
                <w:rFonts w:ascii="Arial" w:hAnsi="Arial" w:cs="Arial"/>
              </w:rPr>
              <w:t>1</w:t>
            </w:r>
            <w:r w:rsidR="005375C6">
              <w:rPr>
                <w:rFonts w:ascii="Arial" w:hAnsi="Arial" w:cs="Arial"/>
              </w:rPr>
              <w:t>3</w:t>
            </w:r>
          </w:p>
        </w:tc>
        <w:tc>
          <w:tcPr>
            <w:tcW w:w="1440" w:type="dxa"/>
            <w:tcBorders>
              <w:top w:val="nil"/>
              <w:left w:val="nil"/>
              <w:bottom w:val="single" w:sz="4" w:space="0" w:color="auto"/>
              <w:right w:val="nil"/>
            </w:tcBorders>
            <w:shd w:val="clear" w:color="auto" w:fill="C0C0C0"/>
          </w:tcPr>
          <w:p w:rsidR="00E32645" w:rsidRDefault="0033280F" w:rsidP="0033280F">
            <w:pPr>
              <w:jc w:val="right"/>
              <w:rPr>
                <w:rFonts w:ascii="Arial" w:hAnsi="Arial" w:cs="Arial"/>
              </w:rPr>
            </w:pPr>
            <w:r>
              <w:rPr>
                <w:rFonts w:ascii="Arial" w:hAnsi="Arial" w:cs="Arial"/>
              </w:rPr>
              <w:t>79</w:t>
            </w:r>
          </w:p>
        </w:tc>
        <w:tc>
          <w:tcPr>
            <w:tcW w:w="1620" w:type="dxa"/>
            <w:tcBorders>
              <w:top w:val="single" w:sz="4" w:space="0" w:color="auto"/>
              <w:left w:val="nil"/>
              <w:bottom w:val="single" w:sz="4" w:space="0" w:color="auto"/>
              <w:right w:val="single" w:sz="4" w:space="0" w:color="auto"/>
            </w:tcBorders>
          </w:tcPr>
          <w:p w:rsidR="00E32645" w:rsidRDefault="00006763" w:rsidP="005375C6">
            <w:pPr>
              <w:jc w:val="right"/>
              <w:rPr>
                <w:rFonts w:ascii="Arial" w:hAnsi="Arial" w:cs="Arial"/>
              </w:rPr>
            </w:pPr>
            <w:r>
              <w:rPr>
                <w:rFonts w:ascii="Arial" w:hAnsi="Arial" w:cs="Arial"/>
              </w:rPr>
              <w:t>93</w:t>
            </w:r>
          </w:p>
        </w:tc>
        <w:tc>
          <w:tcPr>
            <w:tcW w:w="1260" w:type="dxa"/>
            <w:tcBorders>
              <w:top w:val="nil"/>
              <w:left w:val="single" w:sz="4" w:space="0" w:color="auto"/>
              <w:bottom w:val="single" w:sz="4" w:space="0" w:color="auto"/>
              <w:right w:val="single" w:sz="4" w:space="0" w:color="auto"/>
            </w:tcBorders>
          </w:tcPr>
          <w:p w:rsidR="00E32645" w:rsidRDefault="00B1176B" w:rsidP="00B1176B">
            <w:pPr>
              <w:jc w:val="right"/>
              <w:rPr>
                <w:rFonts w:ascii="Arial" w:hAnsi="Arial" w:cs="Arial"/>
              </w:rPr>
            </w:pPr>
            <w:r>
              <w:rPr>
                <w:rFonts w:ascii="Arial" w:hAnsi="Arial" w:cs="Arial"/>
              </w:rPr>
              <w:t>100</w:t>
            </w:r>
          </w:p>
        </w:tc>
        <w:tc>
          <w:tcPr>
            <w:tcW w:w="1800" w:type="dxa"/>
            <w:tcBorders>
              <w:top w:val="single" w:sz="4" w:space="0" w:color="auto"/>
              <w:left w:val="nil"/>
              <w:bottom w:val="single" w:sz="4" w:space="0" w:color="auto"/>
              <w:right w:val="single" w:sz="4" w:space="0" w:color="auto"/>
            </w:tcBorders>
          </w:tcPr>
          <w:p w:rsidR="00E32645" w:rsidRDefault="00006763" w:rsidP="00E0171C">
            <w:pPr>
              <w:jc w:val="right"/>
              <w:rPr>
                <w:rFonts w:ascii="Arial" w:hAnsi="Arial" w:cs="Arial"/>
              </w:rPr>
            </w:pPr>
            <w:r>
              <w:rPr>
                <w:rFonts w:ascii="Arial" w:hAnsi="Arial" w:cs="Arial"/>
              </w:rPr>
              <w:t>93</w:t>
            </w:r>
          </w:p>
        </w:tc>
      </w:tr>
      <w:tr w:rsidR="00E32645">
        <w:trPr>
          <w:trHeight w:val="255"/>
        </w:trPr>
        <w:tc>
          <w:tcPr>
            <w:tcW w:w="3425" w:type="dxa"/>
            <w:tcBorders>
              <w:top w:val="nil"/>
              <w:left w:val="single" w:sz="4" w:space="0" w:color="auto"/>
              <w:bottom w:val="single" w:sz="4" w:space="0" w:color="auto"/>
              <w:right w:val="single" w:sz="4" w:space="0" w:color="auto"/>
            </w:tcBorders>
            <w:noWrap/>
            <w:vAlign w:val="bottom"/>
          </w:tcPr>
          <w:p w:rsidR="00E32645" w:rsidRDefault="00E32645" w:rsidP="005375C6">
            <w:pPr>
              <w:rPr>
                <w:rFonts w:ascii="Arial" w:hAnsi="Arial" w:cs="Arial"/>
              </w:rPr>
            </w:pPr>
            <w:r>
              <w:rPr>
                <w:rFonts w:ascii="Arial" w:hAnsi="Arial" w:cs="Arial"/>
              </w:rPr>
              <w:t>20</w:t>
            </w:r>
            <w:r w:rsidR="006C19FB">
              <w:rPr>
                <w:rFonts w:ascii="Arial" w:hAnsi="Arial" w:cs="Arial"/>
              </w:rPr>
              <w:t>1</w:t>
            </w:r>
            <w:r w:rsidR="005375C6">
              <w:rPr>
                <w:rFonts w:ascii="Arial" w:hAnsi="Arial" w:cs="Arial"/>
              </w:rPr>
              <w:t>3</w:t>
            </w:r>
            <w:r>
              <w:rPr>
                <w:rFonts w:ascii="Arial" w:hAnsi="Arial" w:cs="Arial"/>
              </w:rPr>
              <w:t>-201</w:t>
            </w:r>
            <w:r w:rsidR="005375C6">
              <w:rPr>
                <w:rFonts w:ascii="Arial" w:hAnsi="Arial" w:cs="Arial"/>
              </w:rPr>
              <w:t>4</w:t>
            </w:r>
          </w:p>
        </w:tc>
        <w:tc>
          <w:tcPr>
            <w:tcW w:w="1440" w:type="dxa"/>
            <w:tcBorders>
              <w:top w:val="nil"/>
              <w:left w:val="nil"/>
              <w:bottom w:val="single" w:sz="4" w:space="0" w:color="auto"/>
              <w:right w:val="nil"/>
            </w:tcBorders>
            <w:shd w:val="clear" w:color="auto" w:fill="C0C0C0"/>
          </w:tcPr>
          <w:p w:rsidR="00E32645" w:rsidRDefault="0033280F" w:rsidP="0033280F">
            <w:pPr>
              <w:jc w:val="right"/>
              <w:rPr>
                <w:rFonts w:ascii="Arial" w:hAnsi="Arial" w:cs="Arial"/>
              </w:rPr>
            </w:pPr>
            <w:r>
              <w:rPr>
                <w:rFonts w:ascii="Arial" w:hAnsi="Arial" w:cs="Arial"/>
              </w:rPr>
              <w:t>100</w:t>
            </w:r>
          </w:p>
        </w:tc>
        <w:tc>
          <w:tcPr>
            <w:tcW w:w="1620" w:type="dxa"/>
            <w:tcBorders>
              <w:top w:val="single" w:sz="4" w:space="0" w:color="auto"/>
              <w:left w:val="nil"/>
              <w:bottom w:val="single" w:sz="4" w:space="0" w:color="auto"/>
              <w:right w:val="single" w:sz="4" w:space="0" w:color="auto"/>
            </w:tcBorders>
          </w:tcPr>
          <w:p w:rsidR="00E32645" w:rsidRDefault="00006763" w:rsidP="00E0171C">
            <w:pPr>
              <w:jc w:val="right"/>
              <w:rPr>
                <w:rFonts w:ascii="Arial" w:hAnsi="Arial" w:cs="Arial"/>
              </w:rPr>
            </w:pPr>
            <w:r>
              <w:rPr>
                <w:rFonts w:ascii="Arial" w:hAnsi="Arial" w:cs="Arial"/>
              </w:rPr>
              <w:t>184</w:t>
            </w:r>
          </w:p>
        </w:tc>
        <w:tc>
          <w:tcPr>
            <w:tcW w:w="1260" w:type="dxa"/>
            <w:tcBorders>
              <w:top w:val="nil"/>
              <w:left w:val="single" w:sz="4" w:space="0" w:color="auto"/>
              <w:bottom w:val="single" w:sz="4" w:space="0" w:color="auto"/>
              <w:right w:val="single" w:sz="4" w:space="0" w:color="auto"/>
            </w:tcBorders>
          </w:tcPr>
          <w:p w:rsidR="00E32645" w:rsidRDefault="00E32645" w:rsidP="00391F59">
            <w:pPr>
              <w:jc w:val="right"/>
              <w:rPr>
                <w:rFonts w:ascii="Arial" w:hAnsi="Arial" w:cs="Arial"/>
              </w:rPr>
            </w:pPr>
            <w:r>
              <w:rPr>
                <w:rFonts w:ascii="Arial" w:hAnsi="Arial" w:cs="Arial"/>
              </w:rPr>
              <w:t>7</w:t>
            </w:r>
            <w:r w:rsidR="00391F59">
              <w:rPr>
                <w:rFonts w:ascii="Arial" w:hAnsi="Arial" w:cs="Arial"/>
              </w:rPr>
              <w:t>5</w:t>
            </w:r>
          </w:p>
        </w:tc>
        <w:tc>
          <w:tcPr>
            <w:tcW w:w="1800" w:type="dxa"/>
            <w:tcBorders>
              <w:top w:val="single" w:sz="4" w:space="0" w:color="auto"/>
              <w:left w:val="nil"/>
              <w:bottom w:val="single" w:sz="4" w:space="0" w:color="auto"/>
              <w:right w:val="single" w:sz="4" w:space="0" w:color="auto"/>
            </w:tcBorders>
          </w:tcPr>
          <w:p w:rsidR="00E32645" w:rsidRDefault="00006763" w:rsidP="00006233">
            <w:pPr>
              <w:jc w:val="right"/>
              <w:rPr>
                <w:rFonts w:ascii="Arial" w:hAnsi="Arial" w:cs="Arial"/>
              </w:rPr>
            </w:pPr>
            <w:r>
              <w:rPr>
                <w:rFonts w:ascii="Arial" w:hAnsi="Arial" w:cs="Arial"/>
              </w:rPr>
              <w:t>138</w:t>
            </w:r>
          </w:p>
        </w:tc>
      </w:tr>
      <w:tr w:rsidR="00E32645">
        <w:trPr>
          <w:trHeight w:val="255"/>
        </w:trPr>
        <w:tc>
          <w:tcPr>
            <w:tcW w:w="3425" w:type="dxa"/>
            <w:tcBorders>
              <w:top w:val="nil"/>
              <w:left w:val="single" w:sz="4" w:space="0" w:color="auto"/>
              <w:bottom w:val="single" w:sz="4" w:space="0" w:color="auto"/>
              <w:right w:val="single" w:sz="4" w:space="0" w:color="auto"/>
            </w:tcBorders>
            <w:noWrap/>
            <w:vAlign w:val="bottom"/>
          </w:tcPr>
          <w:p w:rsidR="00E32645" w:rsidRDefault="00E32645" w:rsidP="005375C6">
            <w:pPr>
              <w:rPr>
                <w:rFonts w:ascii="Arial" w:hAnsi="Arial" w:cs="Arial"/>
              </w:rPr>
            </w:pPr>
            <w:r>
              <w:rPr>
                <w:rFonts w:ascii="Arial" w:hAnsi="Arial" w:cs="Arial"/>
              </w:rPr>
              <w:t>201</w:t>
            </w:r>
            <w:r w:rsidR="005375C6">
              <w:rPr>
                <w:rFonts w:ascii="Arial" w:hAnsi="Arial" w:cs="Arial"/>
              </w:rPr>
              <w:t>4</w:t>
            </w:r>
            <w:r>
              <w:rPr>
                <w:rFonts w:ascii="Arial" w:hAnsi="Arial" w:cs="Arial"/>
              </w:rPr>
              <w:t>-201</w:t>
            </w:r>
            <w:r w:rsidR="005375C6">
              <w:rPr>
                <w:rFonts w:ascii="Arial" w:hAnsi="Arial" w:cs="Arial"/>
              </w:rPr>
              <w:t>5</w:t>
            </w:r>
          </w:p>
        </w:tc>
        <w:tc>
          <w:tcPr>
            <w:tcW w:w="1440" w:type="dxa"/>
            <w:tcBorders>
              <w:top w:val="nil"/>
              <w:left w:val="nil"/>
              <w:bottom w:val="single" w:sz="4" w:space="0" w:color="auto"/>
              <w:right w:val="nil"/>
            </w:tcBorders>
            <w:shd w:val="clear" w:color="auto" w:fill="C0C0C0"/>
          </w:tcPr>
          <w:p w:rsidR="00E32645" w:rsidRDefault="0033280F" w:rsidP="0033280F">
            <w:pPr>
              <w:jc w:val="right"/>
              <w:rPr>
                <w:rFonts w:ascii="Arial" w:hAnsi="Arial" w:cs="Arial"/>
              </w:rPr>
            </w:pPr>
            <w:r>
              <w:rPr>
                <w:rFonts w:ascii="Arial" w:hAnsi="Arial" w:cs="Arial"/>
              </w:rPr>
              <w:t>220</w:t>
            </w:r>
          </w:p>
        </w:tc>
        <w:tc>
          <w:tcPr>
            <w:tcW w:w="1620" w:type="dxa"/>
            <w:tcBorders>
              <w:top w:val="single" w:sz="4" w:space="0" w:color="auto"/>
              <w:left w:val="nil"/>
              <w:bottom w:val="single" w:sz="4" w:space="0" w:color="auto"/>
              <w:right w:val="single" w:sz="4" w:space="0" w:color="auto"/>
            </w:tcBorders>
          </w:tcPr>
          <w:p w:rsidR="00E32645" w:rsidRDefault="00006763" w:rsidP="005375C6">
            <w:pPr>
              <w:jc w:val="right"/>
              <w:rPr>
                <w:rFonts w:ascii="Arial" w:hAnsi="Arial" w:cs="Arial"/>
              </w:rPr>
            </w:pPr>
            <w:r>
              <w:rPr>
                <w:rFonts w:ascii="Arial" w:hAnsi="Arial" w:cs="Arial"/>
              </w:rPr>
              <w:t>385</w:t>
            </w:r>
          </w:p>
        </w:tc>
        <w:tc>
          <w:tcPr>
            <w:tcW w:w="1260" w:type="dxa"/>
            <w:tcBorders>
              <w:top w:val="nil"/>
              <w:left w:val="single" w:sz="4" w:space="0" w:color="auto"/>
              <w:bottom w:val="single" w:sz="4" w:space="0" w:color="auto"/>
              <w:right w:val="single" w:sz="4" w:space="0" w:color="auto"/>
            </w:tcBorders>
          </w:tcPr>
          <w:p w:rsidR="00E32645" w:rsidRDefault="00391F59" w:rsidP="00391F59">
            <w:pPr>
              <w:jc w:val="right"/>
              <w:rPr>
                <w:rFonts w:ascii="Arial" w:hAnsi="Arial" w:cs="Arial"/>
              </w:rPr>
            </w:pPr>
            <w:r>
              <w:rPr>
                <w:rFonts w:ascii="Arial" w:hAnsi="Arial" w:cs="Arial"/>
              </w:rPr>
              <w:t>60</w:t>
            </w:r>
          </w:p>
        </w:tc>
        <w:tc>
          <w:tcPr>
            <w:tcW w:w="1800" w:type="dxa"/>
            <w:tcBorders>
              <w:top w:val="single" w:sz="4" w:space="0" w:color="auto"/>
              <w:left w:val="nil"/>
              <w:bottom w:val="single" w:sz="4" w:space="0" w:color="auto"/>
              <w:right w:val="single" w:sz="4" w:space="0" w:color="auto"/>
            </w:tcBorders>
          </w:tcPr>
          <w:p w:rsidR="00E32645" w:rsidRDefault="00006763" w:rsidP="00006233">
            <w:pPr>
              <w:jc w:val="right"/>
              <w:rPr>
                <w:rFonts w:ascii="Arial" w:hAnsi="Arial" w:cs="Arial"/>
              </w:rPr>
            </w:pPr>
            <w:r>
              <w:rPr>
                <w:rFonts w:ascii="Arial" w:hAnsi="Arial" w:cs="Arial"/>
              </w:rPr>
              <w:t>231</w:t>
            </w:r>
          </w:p>
        </w:tc>
      </w:tr>
      <w:tr w:rsidR="00E32645" w:rsidRPr="00E32645">
        <w:trPr>
          <w:trHeight w:val="255"/>
        </w:trPr>
        <w:tc>
          <w:tcPr>
            <w:tcW w:w="3425" w:type="dxa"/>
            <w:tcBorders>
              <w:top w:val="nil"/>
              <w:left w:val="single" w:sz="4" w:space="0" w:color="auto"/>
              <w:bottom w:val="single" w:sz="4" w:space="0" w:color="auto"/>
              <w:right w:val="single" w:sz="4" w:space="0" w:color="auto"/>
            </w:tcBorders>
            <w:noWrap/>
          </w:tcPr>
          <w:p w:rsidR="00E32645" w:rsidRPr="00E32645" w:rsidRDefault="00E32645" w:rsidP="005375C6">
            <w:pPr>
              <w:rPr>
                <w:rFonts w:ascii="Arial" w:hAnsi="Arial" w:cs="Arial"/>
                <w:bCs/>
              </w:rPr>
            </w:pPr>
            <w:r w:rsidRPr="00E32645">
              <w:rPr>
                <w:rFonts w:ascii="Arial" w:hAnsi="Arial" w:cs="Arial"/>
                <w:bCs/>
              </w:rPr>
              <w:t>201</w:t>
            </w:r>
            <w:r w:rsidR="005375C6">
              <w:rPr>
                <w:rFonts w:ascii="Arial" w:hAnsi="Arial" w:cs="Arial"/>
                <w:bCs/>
              </w:rPr>
              <w:t>5</w:t>
            </w:r>
            <w:r w:rsidRPr="00E32645">
              <w:rPr>
                <w:rFonts w:ascii="Arial" w:hAnsi="Arial" w:cs="Arial"/>
                <w:bCs/>
              </w:rPr>
              <w:t>-201</w:t>
            </w:r>
            <w:r w:rsidR="005375C6">
              <w:rPr>
                <w:rFonts w:ascii="Arial" w:hAnsi="Arial" w:cs="Arial"/>
                <w:bCs/>
              </w:rPr>
              <w:t>6</w:t>
            </w:r>
          </w:p>
        </w:tc>
        <w:tc>
          <w:tcPr>
            <w:tcW w:w="1440" w:type="dxa"/>
            <w:tcBorders>
              <w:top w:val="nil"/>
              <w:left w:val="nil"/>
              <w:bottom w:val="single" w:sz="4" w:space="0" w:color="auto"/>
              <w:right w:val="nil"/>
            </w:tcBorders>
            <w:shd w:val="clear" w:color="auto" w:fill="C0C0C0"/>
          </w:tcPr>
          <w:p w:rsidR="00E32645" w:rsidRPr="00E32645" w:rsidRDefault="0033280F" w:rsidP="0033280F">
            <w:pPr>
              <w:jc w:val="right"/>
              <w:rPr>
                <w:rFonts w:ascii="Arial" w:hAnsi="Arial" w:cs="Arial"/>
                <w:bCs/>
              </w:rPr>
            </w:pPr>
            <w:r>
              <w:rPr>
                <w:rFonts w:ascii="Arial" w:hAnsi="Arial" w:cs="Arial"/>
                <w:bCs/>
              </w:rPr>
              <w:t>580</w:t>
            </w:r>
          </w:p>
        </w:tc>
        <w:tc>
          <w:tcPr>
            <w:tcW w:w="1620" w:type="dxa"/>
            <w:tcBorders>
              <w:top w:val="single" w:sz="4" w:space="0" w:color="auto"/>
              <w:left w:val="nil"/>
              <w:bottom w:val="single" w:sz="4" w:space="0" w:color="auto"/>
              <w:right w:val="single" w:sz="4" w:space="0" w:color="auto"/>
            </w:tcBorders>
          </w:tcPr>
          <w:p w:rsidR="00E32645" w:rsidRPr="00E32645" w:rsidRDefault="00006763" w:rsidP="00006763">
            <w:pPr>
              <w:jc w:val="right"/>
              <w:rPr>
                <w:rFonts w:ascii="Arial" w:hAnsi="Arial" w:cs="Arial"/>
                <w:bCs/>
              </w:rPr>
            </w:pPr>
            <w:r>
              <w:rPr>
                <w:rFonts w:ascii="Arial" w:hAnsi="Arial" w:cs="Arial"/>
                <w:bCs/>
              </w:rPr>
              <w:t>547</w:t>
            </w:r>
          </w:p>
        </w:tc>
        <w:tc>
          <w:tcPr>
            <w:tcW w:w="1260" w:type="dxa"/>
            <w:tcBorders>
              <w:top w:val="nil"/>
              <w:left w:val="single" w:sz="4" w:space="0" w:color="auto"/>
              <w:bottom w:val="single" w:sz="4" w:space="0" w:color="auto"/>
              <w:right w:val="single" w:sz="4" w:space="0" w:color="auto"/>
            </w:tcBorders>
          </w:tcPr>
          <w:p w:rsidR="00E32645" w:rsidRDefault="00391F59" w:rsidP="00391F59">
            <w:pPr>
              <w:jc w:val="right"/>
              <w:rPr>
                <w:rFonts w:ascii="Arial" w:hAnsi="Arial" w:cs="Arial"/>
              </w:rPr>
            </w:pPr>
            <w:r>
              <w:rPr>
                <w:rFonts w:ascii="Arial" w:hAnsi="Arial" w:cs="Arial"/>
              </w:rPr>
              <w:t>50</w:t>
            </w:r>
          </w:p>
        </w:tc>
        <w:tc>
          <w:tcPr>
            <w:tcW w:w="1800" w:type="dxa"/>
            <w:tcBorders>
              <w:top w:val="single" w:sz="4" w:space="0" w:color="auto"/>
              <w:left w:val="nil"/>
              <w:bottom w:val="single" w:sz="4" w:space="0" w:color="auto"/>
              <w:right w:val="single" w:sz="4" w:space="0" w:color="auto"/>
            </w:tcBorders>
          </w:tcPr>
          <w:p w:rsidR="00E32645" w:rsidRPr="00E32645" w:rsidRDefault="00233BC2" w:rsidP="00006233">
            <w:pPr>
              <w:jc w:val="right"/>
              <w:rPr>
                <w:rFonts w:ascii="Arial" w:hAnsi="Arial" w:cs="Arial"/>
                <w:bCs/>
              </w:rPr>
            </w:pPr>
            <w:r>
              <w:rPr>
                <w:rFonts w:ascii="Arial" w:hAnsi="Arial" w:cs="Arial"/>
                <w:bCs/>
              </w:rPr>
              <w:t>274</w:t>
            </w:r>
          </w:p>
        </w:tc>
      </w:tr>
      <w:tr w:rsidR="000D499C">
        <w:trPr>
          <w:trHeight w:val="255"/>
        </w:trPr>
        <w:tc>
          <w:tcPr>
            <w:tcW w:w="3425" w:type="dxa"/>
            <w:tcBorders>
              <w:top w:val="nil"/>
              <w:left w:val="single" w:sz="4" w:space="0" w:color="auto"/>
              <w:bottom w:val="single" w:sz="4" w:space="0" w:color="auto"/>
              <w:right w:val="single" w:sz="4" w:space="0" w:color="auto"/>
            </w:tcBorders>
            <w:noWrap/>
          </w:tcPr>
          <w:p w:rsidR="000D499C" w:rsidRDefault="000D499C" w:rsidP="000E0EB9">
            <w:pPr>
              <w:rPr>
                <w:rFonts w:ascii="Arial" w:hAnsi="Arial" w:cs="Arial"/>
                <w:b/>
                <w:bCs/>
              </w:rPr>
            </w:pPr>
            <w:r>
              <w:rPr>
                <w:rFonts w:ascii="Arial" w:hAnsi="Arial" w:cs="Arial"/>
                <w:b/>
                <w:bCs/>
              </w:rPr>
              <w:t>Total</w:t>
            </w:r>
          </w:p>
        </w:tc>
        <w:tc>
          <w:tcPr>
            <w:tcW w:w="1440" w:type="dxa"/>
            <w:tcBorders>
              <w:top w:val="nil"/>
              <w:left w:val="nil"/>
              <w:bottom w:val="single" w:sz="4" w:space="0" w:color="auto"/>
              <w:right w:val="nil"/>
            </w:tcBorders>
            <w:shd w:val="clear" w:color="auto" w:fill="C0C0C0"/>
          </w:tcPr>
          <w:p w:rsidR="000D499C" w:rsidRDefault="00895A18" w:rsidP="00DA662F">
            <w:pPr>
              <w:jc w:val="right"/>
              <w:rPr>
                <w:rFonts w:ascii="Arial" w:hAnsi="Arial" w:cs="Arial"/>
                <w:b/>
                <w:bCs/>
              </w:rPr>
            </w:pPr>
            <w:r>
              <w:rPr>
                <w:rFonts w:ascii="Arial" w:hAnsi="Arial" w:cs="Arial"/>
                <w:b/>
                <w:bCs/>
              </w:rPr>
              <w:t>1</w:t>
            </w:r>
            <w:r w:rsidR="00A33234">
              <w:rPr>
                <w:rFonts w:ascii="Arial" w:hAnsi="Arial" w:cs="Arial"/>
                <w:b/>
                <w:bCs/>
              </w:rPr>
              <w:t>,</w:t>
            </w:r>
            <w:r w:rsidR="00DA662F">
              <w:rPr>
                <w:rFonts w:ascii="Arial" w:hAnsi="Arial" w:cs="Arial"/>
                <w:b/>
                <w:bCs/>
              </w:rPr>
              <w:t>170</w:t>
            </w:r>
          </w:p>
        </w:tc>
        <w:tc>
          <w:tcPr>
            <w:tcW w:w="1620" w:type="dxa"/>
            <w:tcBorders>
              <w:top w:val="single" w:sz="4" w:space="0" w:color="auto"/>
              <w:left w:val="nil"/>
              <w:bottom w:val="single" w:sz="4" w:space="0" w:color="auto"/>
              <w:right w:val="single" w:sz="4" w:space="0" w:color="auto"/>
            </w:tcBorders>
          </w:tcPr>
          <w:p w:rsidR="000D499C" w:rsidRDefault="00E0171C" w:rsidP="00006763">
            <w:pPr>
              <w:jc w:val="right"/>
              <w:rPr>
                <w:rFonts w:ascii="Arial" w:hAnsi="Arial" w:cs="Arial"/>
                <w:b/>
                <w:bCs/>
              </w:rPr>
            </w:pPr>
            <w:r>
              <w:rPr>
                <w:rFonts w:ascii="Arial" w:hAnsi="Arial" w:cs="Arial"/>
                <w:b/>
                <w:bCs/>
              </w:rPr>
              <w:t>1,</w:t>
            </w:r>
            <w:r w:rsidR="00006763">
              <w:rPr>
                <w:rFonts w:ascii="Arial" w:hAnsi="Arial" w:cs="Arial"/>
                <w:b/>
                <w:bCs/>
              </w:rPr>
              <w:t>406</w:t>
            </w:r>
          </w:p>
        </w:tc>
        <w:tc>
          <w:tcPr>
            <w:tcW w:w="1260" w:type="dxa"/>
            <w:tcBorders>
              <w:top w:val="nil"/>
              <w:left w:val="single" w:sz="4" w:space="0" w:color="auto"/>
              <w:bottom w:val="single" w:sz="4" w:space="0" w:color="auto"/>
              <w:right w:val="single" w:sz="4" w:space="0" w:color="auto"/>
            </w:tcBorders>
          </w:tcPr>
          <w:p w:rsidR="000D499C" w:rsidRDefault="000D499C" w:rsidP="000E0EB9">
            <w:pPr>
              <w:jc w:val="right"/>
              <w:rPr>
                <w:rFonts w:ascii="Arial" w:hAnsi="Arial" w:cs="Arial"/>
                <w:b/>
                <w:bCs/>
              </w:rPr>
            </w:pPr>
          </w:p>
        </w:tc>
        <w:tc>
          <w:tcPr>
            <w:tcW w:w="1800" w:type="dxa"/>
            <w:tcBorders>
              <w:top w:val="single" w:sz="4" w:space="0" w:color="auto"/>
              <w:left w:val="nil"/>
              <w:bottom w:val="single" w:sz="4" w:space="0" w:color="auto"/>
              <w:right w:val="single" w:sz="4" w:space="0" w:color="auto"/>
            </w:tcBorders>
          </w:tcPr>
          <w:p w:rsidR="000D499C" w:rsidRDefault="00233BC2" w:rsidP="00233BC2">
            <w:pPr>
              <w:jc w:val="right"/>
              <w:rPr>
                <w:rFonts w:ascii="Arial" w:hAnsi="Arial" w:cs="Arial"/>
                <w:b/>
                <w:bCs/>
              </w:rPr>
            </w:pPr>
            <w:r>
              <w:rPr>
                <w:rFonts w:ascii="Arial" w:hAnsi="Arial" w:cs="Arial"/>
                <w:b/>
                <w:bCs/>
              </w:rPr>
              <w:t>933</w:t>
            </w:r>
          </w:p>
        </w:tc>
      </w:tr>
    </w:tbl>
    <w:p w:rsidR="00E04727" w:rsidRDefault="00E04727" w:rsidP="00237BA3">
      <w:pPr>
        <w:rPr>
          <w:rFonts w:ascii="Arial" w:hAnsi="Arial" w:cs="Arial"/>
          <w:b/>
        </w:rPr>
      </w:pPr>
    </w:p>
    <w:p w:rsidR="00237BA3" w:rsidRPr="000D499C" w:rsidRDefault="00E04727" w:rsidP="00237BA3">
      <w:pPr>
        <w:rPr>
          <w:rFonts w:ascii="Arial" w:hAnsi="Arial" w:cs="Arial"/>
          <w:b/>
          <w:sz w:val="20"/>
          <w:szCs w:val="20"/>
        </w:rPr>
      </w:pPr>
      <w:r>
        <w:rPr>
          <w:rFonts w:ascii="Arial" w:hAnsi="Arial" w:cs="Arial"/>
          <w:b/>
        </w:rPr>
        <w:br w:type="page"/>
      </w:r>
      <w:r w:rsidR="00237BA3" w:rsidRPr="000D499C">
        <w:rPr>
          <w:rFonts w:ascii="Arial" w:hAnsi="Arial" w:cs="Arial"/>
          <w:b/>
        </w:rPr>
        <w:lastRenderedPageBreak/>
        <w:t>Housing Benefits</w:t>
      </w:r>
    </w:p>
    <w:p w:rsidR="00E04727" w:rsidRDefault="00237BA3" w:rsidP="00A6724C">
      <w:pPr>
        <w:ind w:right="-99"/>
        <w:jc w:val="both"/>
        <w:rPr>
          <w:rFonts w:ascii="Arial" w:hAnsi="Arial" w:cs="Arial"/>
        </w:rPr>
      </w:pPr>
      <w:r>
        <w:rPr>
          <w:rFonts w:ascii="Arial" w:hAnsi="Arial" w:cs="Arial"/>
        </w:rPr>
        <w:t xml:space="preserve">Currently, bad debt provisions </w:t>
      </w:r>
      <w:r w:rsidRPr="00F15BA9">
        <w:rPr>
          <w:rFonts w:ascii="Arial" w:hAnsi="Arial" w:cs="Arial"/>
        </w:rPr>
        <w:t xml:space="preserve">of </w:t>
      </w:r>
      <w:r w:rsidRPr="00B3238E">
        <w:rPr>
          <w:rFonts w:ascii="Arial" w:hAnsi="Arial" w:cs="Arial"/>
        </w:rPr>
        <w:t>£</w:t>
      </w:r>
      <w:r w:rsidR="009659E1">
        <w:rPr>
          <w:rFonts w:ascii="Arial" w:hAnsi="Arial" w:cs="Arial"/>
        </w:rPr>
        <w:t>5</w:t>
      </w:r>
      <w:r w:rsidR="00AA1171" w:rsidRPr="00B3238E">
        <w:rPr>
          <w:rFonts w:ascii="Arial" w:hAnsi="Arial" w:cs="Arial"/>
        </w:rPr>
        <w:t>.</w:t>
      </w:r>
      <w:r w:rsidR="00181813">
        <w:rPr>
          <w:rFonts w:ascii="Arial" w:hAnsi="Arial" w:cs="Arial"/>
        </w:rPr>
        <w:t>378</w:t>
      </w:r>
      <w:r w:rsidR="004F70C0" w:rsidRPr="00B3238E">
        <w:rPr>
          <w:rFonts w:ascii="Arial" w:hAnsi="Arial" w:cs="Arial"/>
        </w:rPr>
        <w:t>m</w:t>
      </w:r>
      <w:r w:rsidR="00CB29A0" w:rsidRPr="008C4D6D">
        <w:rPr>
          <w:rFonts w:ascii="Arial" w:hAnsi="Arial" w:cs="Arial"/>
        </w:rPr>
        <w:t xml:space="preserve"> </w:t>
      </w:r>
      <w:r w:rsidR="00D12642" w:rsidRPr="008C4D6D">
        <w:rPr>
          <w:rFonts w:ascii="Arial" w:hAnsi="Arial" w:cs="Arial"/>
        </w:rPr>
        <w:t>[</w:t>
      </w:r>
      <w:r w:rsidR="00D12642" w:rsidRPr="00750E63">
        <w:rPr>
          <w:rFonts w:ascii="Arial" w:hAnsi="Arial" w:cs="Arial"/>
          <w:b/>
        </w:rPr>
        <w:t>£</w:t>
      </w:r>
      <w:r w:rsidR="009659E1">
        <w:rPr>
          <w:rFonts w:ascii="Arial" w:hAnsi="Arial" w:cs="Arial"/>
          <w:b/>
        </w:rPr>
        <w:t>5.509</w:t>
      </w:r>
      <w:r w:rsidR="00D12642" w:rsidRPr="00750E63">
        <w:rPr>
          <w:rFonts w:ascii="Arial" w:hAnsi="Arial" w:cs="Arial"/>
          <w:b/>
        </w:rPr>
        <w:t>m</w:t>
      </w:r>
      <w:r w:rsidR="00D12642" w:rsidRPr="008C4D6D">
        <w:rPr>
          <w:rFonts w:ascii="Arial" w:hAnsi="Arial" w:cs="Arial"/>
        </w:rPr>
        <w:t xml:space="preserve"> </w:t>
      </w:r>
      <w:r w:rsidR="00D12642" w:rsidRPr="00AA1171">
        <w:rPr>
          <w:rFonts w:ascii="Arial" w:hAnsi="Arial" w:cs="Arial"/>
        </w:rPr>
        <w:t xml:space="preserve">- </w:t>
      </w:r>
      <w:r w:rsidR="004F70C0" w:rsidRPr="00B3238E">
        <w:rPr>
          <w:rFonts w:ascii="Arial" w:hAnsi="Arial" w:cs="Arial"/>
        </w:rPr>
        <w:t>£</w:t>
      </w:r>
      <w:r w:rsidR="009659E1">
        <w:rPr>
          <w:rFonts w:ascii="Arial" w:hAnsi="Arial" w:cs="Arial"/>
        </w:rPr>
        <w:t>0</w:t>
      </w:r>
      <w:r w:rsidR="00A745C0">
        <w:rPr>
          <w:rFonts w:ascii="Arial" w:hAnsi="Arial" w:cs="Arial"/>
        </w:rPr>
        <w:t>.</w:t>
      </w:r>
      <w:r w:rsidR="00181813">
        <w:rPr>
          <w:rFonts w:ascii="Arial" w:hAnsi="Arial" w:cs="Arial"/>
        </w:rPr>
        <w:t>131</w:t>
      </w:r>
      <w:r w:rsidR="003D76F2" w:rsidRPr="00B3238E">
        <w:rPr>
          <w:rFonts w:ascii="Arial" w:hAnsi="Arial" w:cs="Arial"/>
        </w:rPr>
        <w:t>m</w:t>
      </w:r>
      <w:r w:rsidR="00D12642" w:rsidRPr="008C4D6D">
        <w:rPr>
          <w:rFonts w:ascii="Arial" w:hAnsi="Arial" w:cs="Arial"/>
        </w:rPr>
        <w:t xml:space="preserve"> w/offs</w:t>
      </w:r>
      <w:r w:rsidR="00C11259" w:rsidRPr="008C4D6D">
        <w:rPr>
          <w:rFonts w:ascii="Arial" w:hAnsi="Arial" w:cs="Arial"/>
        </w:rPr>
        <w:t xml:space="preserve"> 1/4/1</w:t>
      </w:r>
      <w:r w:rsidR="009659E1">
        <w:rPr>
          <w:rFonts w:ascii="Arial" w:hAnsi="Arial" w:cs="Arial"/>
        </w:rPr>
        <w:t>5</w:t>
      </w:r>
      <w:r w:rsidR="00C11259" w:rsidRPr="008C4D6D">
        <w:rPr>
          <w:rFonts w:ascii="Arial" w:hAnsi="Arial" w:cs="Arial"/>
        </w:rPr>
        <w:t xml:space="preserve"> to 3</w:t>
      </w:r>
      <w:r w:rsidR="00181813">
        <w:rPr>
          <w:rFonts w:ascii="Arial" w:hAnsi="Arial" w:cs="Arial"/>
        </w:rPr>
        <w:t>0</w:t>
      </w:r>
      <w:r w:rsidR="00C11259" w:rsidRPr="008C4D6D">
        <w:rPr>
          <w:rFonts w:ascii="Arial" w:hAnsi="Arial" w:cs="Arial"/>
        </w:rPr>
        <w:t>/</w:t>
      </w:r>
      <w:r w:rsidR="00181813">
        <w:rPr>
          <w:rFonts w:ascii="Arial" w:hAnsi="Arial" w:cs="Arial"/>
        </w:rPr>
        <w:t>09</w:t>
      </w:r>
      <w:r w:rsidR="0022513F" w:rsidRPr="008C4D6D">
        <w:rPr>
          <w:rFonts w:ascii="Arial" w:hAnsi="Arial" w:cs="Arial"/>
        </w:rPr>
        <w:t>/</w:t>
      </w:r>
      <w:r w:rsidR="00C11259" w:rsidRPr="008C4D6D">
        <w:rPr>
          <w:rFonts w:ascii="Arial" w:hAnsi="Arial" w:cs="Arial"/>
        </w:rPr>
        <w:t>1</w:t>
      </w:r>
      <w:r w:rsidR="009659E1">
        <w:rPr>
          <w:rFonts w:ascii="Arial" w:hAnsi="Arial" w:cs="Arial"/>
        </w:rPr>
        <w:t>5</w:t>
      </w:r>
      <w:r w:rsidR="00D12642" w:rsidRPr="008C4D6D">
        <w:rPr>
          <w:rFonts w:ascii="Arial" w:hAnsi="Arial" w:cs="Arial"/>
        </w:rPr>
        <w:t>]</w:t>
      </w:r>
      <w:r w:rsidR="00D12642">
        <w:rPr>
          <w:rFonts w:ascii="Arial" w:hAnsi="Arial" w:cs="Arial"/>
        </w:rPr>
        <w:t xml:space="preserve"> e</w:t>
      </w:r>
      <w:r>
        <w:rPr>
          <w:rFonts w:ascii="Arial" w:hAnsi="Arial" w:cs="Arial"/>
        </w:rPr>
        <w:t xml:space="preserve">xist for Housing Benefit overpayment debt against a potential BDP </w:t>
      </w:r>
      <w:r w:rsidRPr="00AA1171">
        <w:rPr>
          <w:rFonts w:ascii="Arial" w:hAnsi="Arial" w:cs="Arial"/>
        </w:rPr>
        <w:t xml:space="preserve">of </w:t>
      </w:r>
      <w:r w:rsidRPr="00B3238E">
        <w:rPr>
          <w:rFonts w:ascii="Arial" w:hAnsi="Arial" w:cs="Arial"/>
        </w:rPr>
        <w:t>£</w:t>
      </w:r>
      <w:r w:rsidR="009659E1">
        <w:rPr>
          <w:rFonts w:ascii="Arial" w:hAnsi="Arial" w:cs="Arial"/>
        </w:rPr>
        <w:t>5.</w:t>
      </w:r>
      <w:r w:rsidR="00F61B46">
        <w:rPr>
          <w:rFonts w:ascii="Arial" w:hAnsi="Arial" w:cs="Arial"/>
        </w:rPr>
        <w:t>937</w:t>
      </w:r>
      <w:r w:rsidR="008C4D6D" w:rsidRPr="00B3238E">
        <w:rPr>
          <w:rFonts w:ascii="Arial" w:hAnsi="Arial" w:cs="Arial"/>
        </w:rPr>
        <w:t>m</w:t>
      </w:r>
      <w:r w:rsidR="00B60848" w:rsidRPr="00B3238E">
        <w:rPr>
          <w:rFonts w:ascii="Arial" w:hAnsi="Arial" w:cs="Arial"/>
        </w:rPr>
        <w:t xml:space="preserve"> (£</w:t>
      </w:r>
      <w:r w:rsidR="009659E1">
        <w:rPr>
          <w:rFonts w:ascii="Arial" w:hAnsi="Arial" w:cs="Arial"/>
        </w:rPr>
        <w:t>3.</w:t>
      </w:r>
      <w:r w:rsidR="00181813">
        <w:rPr>
          <w:rFonts w:ascii="Arial" w:hAnsi="Arial" w:cs="Arial"/>
        </w:rPr>
        <w:t>1</w:t>
      </w:r>
      <w:r w:rsidR="00F61B46">
        <w:rPr>
          <w:rFonts w:ascii="Arial" w:hAnsi="Arial" w:cs="Arial"/>
        </w:rPr>
        <w:t>06</w:t>
      </w:r>
      <w:r w:rsidR="003D76F2" w:rsidRPr="00B3238E">
        <w:rPr>
          <w:rFonts w:ascii="Arial" w:hAnsi="Arial" w:cs="Arial"/>
        </w:rPr>
        <w:t>m</w:t>
      </w:r>
      <w:r w:rsidR="00F15BA9" w:rsidRPr="00B3238E">
        <w:rPr>
          <w:rFonts w:ascii="Arial" w:hAnsi="Arial" w:cs="Arial"/>
        </w:rPr>
        <w:t xml:space="preserve"> </w:t>
      </w:r>
      <w:r w:rsidR="008C4D6D" w:rsidRPr="00B3238E">
        <w:rPr>
          <w:rFonts w:ascii="Arial" w:hAnsi="Arial" w:cs="Arial"/>
        </w:rPr>
        <w:t>+</w:t>
      </w:r>
      <w:r w:rsidR="00F15BA9" w:rsidRPr="00B3238E">
        <w:rPr>
          <w:rFonts w:ascii="Arial" w:hAnsi="Arial" w:cs="Arial"/>
        </w:rPr>
        <w:t xml:space="preserve"> </w:t>
      </w:r>
      <w:r w:rsidR="008C4D6D" w:rsidRPr="00B3238E">
        <w:rPr>
          <w:rFonts w:ascii="Arial" w:hAnsi="Arial" w:cs="Arial"/>
        </w:rPr>
        <w:t>£</w:t>
      </w:r>
      <w:r w:rsidR="009659E1">
        <w:rPr>
          <w:rFonts w:ascii="Arial" w:hAnsi="Arial" w:cs="Arial"/>
        </w:rPr>
        <w:t>2.</w:t>
      </w:r>
      <w:r w:rsidR="00F61B46">
        <w:rPr>
          <w:rFonts w:ascii="Arial" w:hAnsi="Arial" w:cs="Arial"/>
        </w:rPr>
        <w:t>834</w:t>
      </w:r>
      <w:r w:rsidR="00237418" w:rsidRPr="00B3238E">
        <w:rPr>
          <w:rFonts w:ascii="Arial" w:hAnsi="Arial" w:cs="Arial"/>
        </w:rPr>
        <w:t>m</w:t>
      </w:r>
      <w:r w:rsidR="00B60848" w:rsidRPr="00B3238E">
        <w:rPr>
          <w:rFonts w:ascii="Arial" w:hAnsi="Arial" w:cs="Arial"/>
        </w:rPr>
        <w:t xml:space="preserve"> </w:t>
      </w:r>
      <w:r w:rsidR="00CD6448" w:rsidRPr="00B3238E">
        <w:rPr>
          <w:rFonts w:ascii="Arial" w:hAnsi="Arial" w:cs="Arial"/>
        </w:rPr>
        <w:t>=</w:t>
      </w:r>
      <w:r w:rsidR="00B60848" w:rsidRPr="00B3238E">
        <w:rPr>
          <w:rFonts w:ascii="Arial" w:hAnsi="Arial" w:cs="Arial"/>
        </w:rPr>
        <w:t xml:space="preserve"> £</w:t>
      </w:r>
      <w:r w:rsidR="009659E1">
        <w:rPr>
          <w:rFonts w:ascii="Arial" w:hAnsi="Arial" w:cs="Arial"/>
        </w:rPr>
        <w:t>5.</w:t>
      </w:r>
      <w:r w:rsidR="00F61B46">
        <w:rPr>
          <w:rFonts w:ascii="Arial" w:hAnsi="Arial" w:cs="Arial"/>
        </w:rPr>
        <w:t>940</w:t>
      </w:r>
      <w:r w:rsidR="008C4D6D" w:rsidRPr="00B3238E">
        <w:rPr>
          <w:rFonts w:ascii="Arial" w:hAnsi="Arial" w:cs="Arial"/>
        </w:rPr>
        <w:t>m</w:t>
      </w:r>
      <w:r w:rsidR="00B60848" w:rsidRPr="00AA1171">
        <w:rPr>
          <w:rFonts w:ascii="Arial" w:hAnsi="Arial" w:cs="Arial"/>
        </w:rPr>
        <w:t>)</w:t>
      </w:r>
      <w:r w:rsidRPr="00AA1171">
        <w:rPr>
          <w:rFonts w:ascii="Arial" w:hAnsi="Arial" w:cs="Arial"/>
        </w:rPr>
        <w:t>.</w:t>
      </w:r>
      <w:r w:rsidRPr="00A33F37">
        <w:rPr>
          <w:rFonts w:ascii="Arial" w:hAnsi="Arial" w:cs="Arial"/>
        </w:rPr>
        <w:t xml:space="preserve"> </w:t>
      </w:r>
      <w:r>
        <w:rPr>
          <w:rFonts w:ascii="Arial" w:hAnsi="Arial" w:cs="Arial"/>
        </w:rPr>
        <w:t xml:space="preserve"> </w:t>
      </w:r>
    </w:p>
    <w:p w:rsidR="009659E1" w:rsidRDefault="009659E1" w:rsidP="007D2A81">
      <w:pPr>
        <w:ind w:right="-720"/>
        <w:jc w:val="both"/>
        <w:rPr>
          <w:rFonts w:ascii="Arial" w:hAnsi="Arial" w:cs="Arial"/>
        </w:rPr>
      </w:pPr>
    </w:p>
    <w:p w:rsidR="009659E1" w:rsidRDefault="009659E1" w:rsidP="007D2A81">
      <w:pPr>
        <w:ind w:right="-720"/>
        <w:jc w:val="both"/>
        <w:rPr>
          <w:rFonts w:ascii="Arial" w:hAnsi="Arial" w:cs="Arial"/>
          <w:sz w:val="20"/>
          <w:szCs w:val="20"/>
        </w:rPr>
      </w:pPr>
    </w:p>
    <w:tbl>
      <w:tblPr>
        <w:tblW w:w="9503" w:type="dxa"/>
        <w:tblInd w:w="103" w:type="dxa"/>
        <w:tblLayout w:type="fixed"/>
        <w:tblLook w:val="0000" w:firstRow="0" w:lastRow="0" w:firstColumn="0" w:lastColumn="0" w:noHBand="0" w:noVBand="0"/>
      </w:tblPr>
      <w:tblGrid>
        <w:gridCol w:w="3425"/>
        <w:gridCol w:w="1620"/>
        <w:gridCol w:w="1440"/>
        <w:gridCol w:w="1260"/>
        <w:gridCol w:w="1758"/>
      </w:tblGrid>
      <w:tr w:rsidR="008B0899" w:rsidRPr="00E04727" w:rsidTr="00A6724C">
        <w:trPr>
          <w:trHeight w:val="524"/>
        </w:trPr>
        <w:tc>
          <w:tcPr>
            <w:tcW w:w="3425" w:type="dxa"/>
            <w:tcBorders>
              <w:top w:val="single" w:sz="4" w:space="0" w:color="auto"/>
              <w:left w:val="single" w:sz="4" w:space="0" w:color="auto"/>
              <w:bottom w:val="single" w:sz="4" w:space="0" w:color="auto"/>
              <w:right w:val="single" w:sz="4" w:space="0" w:color="auto"/>
            </w:tcBorders>
            <w:noWrap/>
          </w:tcPr>
          <w:p w:rsidR="008B0899" w:rsidRDefault="006034B9" w:rsidP="008B0899">
            <w:pPr>
              <w:rPr>
                <w:rFonts w:ascii="Arial" w:hAnsi="Arial" w:cs="Arial"/>
                <w:b/>
                <w:sz w:val="20"/>
                <w:szCs w:val="20"/>
              </w:rPr>
            </w:pPr>
            <w:r w:rsidRPr="00E04727">
              <w:rPr>
                <w:rFonts w:ascii="Arial" w:hAnsi="Arial" w:cs="Arial"/>
                <w:b/>
                <w:sz w:val="20"/>
                <w:szCs w:val="20"/>
              </w:rPr>
              <w:t>Housing Benefit</w:t>
            </w:r>
          </w:p>
          <w:p w:rsidR="001E7D94" w:rsidRPr="00E04727" w:rsidRDefault="001E7D94" w:rsidP="008B0899">
            <w:pPr>
              <w:rPr>
                <w:rFonts w:ascii="Arial" w:hAnsi="Arial" w:cs="Arial"/>
                <w:b/>
                <w:sz w:val="20"/>
                <w:szCs w:val="20"/>
              </w:rPr>
            </w:pPr>
            <w:r>
              <w:rPr>
                <w:rFonts w:ascii="Arial" w:hAnsi="Arial" w:cs="Arial"/>
                <w:b/>
                <w:sz w:val="20"/>
                <w:szCs w:val="20"/>
              </w:rPr>
              <w:t>DEBTORS</w:t>
            </w:r>
          </w:p>
        </w:tc>
        <w:tc>
          <w:tcPr>
            <w:tcW w:w="1620" w:type="dxa"/>
            <w:tcBorders>
              <w:top w:val="single" w:sz="4" w:space="0" w:color="auto"/>
              <w:left w:val="nil"/>
              <w:bottom w:val="single" w:sz="4" w:space="0" w:color="auto"/>
              <w:right w:val="nil"/>
            </w:tcBorders>
          </w:tcPr>
          <w:p w:rsidR="008B0899" w:rsidRPr="00E04727" w:rsidRDefault="008C4D6D" w:rsidP="008C4D6D">
            <w:pPr>
              <w:jc w:val="center"/>
              <w:rPr>
                <w:rFonts w:ascii="Arial" w:hAnsi="Arial" w:cs="Arial"/>
                <w:sz w:val="20"/>
                <w:szCs w:val="20"/>
              </w:rPr>
            </w:pPr>
            <w:r>
              <w:rPr>
                <w:rFonts w:ascii="Arial" w:hAnsi="Arial" w:cs="Arial"/>
                <w:sz w:val="20"/>
                <w:szCs w:val="20"/>
              </w:rPr>
              <w:t>Outstand</w:t>
            </w:r>
            <w:r w:rsidR="004E28E0" w:rsidRPr="00E04727">
              <w:rPr>
                <w:rFonts w:ascii="Arial" w:hAnsi="Arial" w:cs="Arial"/>
                <w:sz w:val="20"/>
                <w:szCs w:val="20"/>
              </w:rPr>
              <w:t xml:space="preserve"> as at 1</w:t>
            </w:r>
            <w:r w:rsidR="004E28E0" w:rsidRPr="00E04727">
              <w:rPr>
                <w:rFonts w:ascii="Arial" w:hAnsi="Arial" w:cs="Arial"/>
                <w:sz w:val="20"/>
                <w:szCs w:val="20"/>
                <w:vertAlign w:val="superscript"/>
              </w:rPr>
              <w:t>st</w:t>
            </w:r>
            <w:r w:rsidR="004E28E0" w:rsidRPr="00E04727">
              <w:rPr>
                <w:rFonts w:ascii="Arial" w:hAnsi="Arial" w:cs="Arial"/>
                <w:sz w:val="20"/>
                <w:szCs w:val="20"/>
              </w:rPr>
              <w:t xml:space="preserve"> of April</w:t>
            </w:r>
          </w:p>
        </w:tc>
        <w:tc>
          <w:tcPr>
            <w:tcW w:w="1440" w:type="dxa"/>
            <w:tcBorders>
              <w:top w:val="single" w:sz="4" w:space="0" w:color="auto"/>
              <w:left w:val="nil"/>
              <w:bottom w:val="single" w:sz="4" w:space="0" w:color="auto"/>
              <w:right w:val="single" w:sz="4" w:space="0" w:color="auto"/>
            </w:tcBorders>
          </w:tcPr>
          <w:p w:rsidR="008B0899" w:rsidRPr="00E04727" w:rsidRDefault="008C4D6D" w:rsidP="009659E1">
            <w:pPr>
              <w:ind w:right="-108"/>
              <w:jc w:val="center"/>
              <w:rPr>
                <w:rFonts w:ascii="Arial" w:hAnsi="Arial" w:cs="Arial"/>
                <w:sz w:val="20"/>
                <w:szCs w:val="20"/>
              </w:rPr>
            </w:pPr>
            <w:r>
              <w:rPr>
                <w:rFonts w:ascii="Arial" w:hAnsi="Arial" w:cs="Arial"/>
                <w:sz w:val="20"/>
                <w:szCs w:val="20"/>
              </w:rPr>
              <w:t>Outstand</w:t>
            </w:r>
            <w:r w:rsidR="008B0899" w:rsidRPr="00E04727">
              <w:rPr>
                <w:rFonts w:ascii="Arial" w:hAnsi="Arial" w:cs="Arial"/>
                <w:sz w:val="20"/>
                <w:szCs w:val="20"/>
              </w:rPr>
              <w:t xml:space="preserve"> as at Qtr </w:t>
            </w:r>
            <w:r w:rsidR="00181813">
              <w:rPr>
                <w:rFonts w:ascii="Arial" w:hAnsi="Arial" w:cs="Arial"/>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B0899" w:rsidRPr="00E04727" w:rsidRDefault="008B0899" w:rsidP="002512D2">
            <w:pPr>
              <w:jc w:val="center"/>
              <w:rPr>
                <w:rFonts w:ascii="Arial" w:hAnsi="Arial" w:cs="Arial"/>
                <w:sz w:val="20"/>
                <w:szCs w:val="20"/>
              </w:rPr>
            </w:pPr>
            <w:r w:rsidRPr="00E04727">
              <w:rPr>
                <w:rFonts w:ascii="Arial" w:hAnsi="Arial" w:cs="Arial"/>
                <w:sz w:val="20"/>
                <w:szCs w:val="20"/>
              </w:rPr>
              <w:t xml:space="preserve">BDP </w:t>
            </w:r>
          </w:p>
        </w:tc>
        <w:tc>
          <w:tcPr>
            <w:tcW w:w="1758" w:type="dxa"/>
            <w:tcBorders>
              <w:top w:val="single" w:sz="4" w:space="0" w:color="auto"/>
              <w:left w:val="single" w:sz="4" w:space="0" w:color="auto"/>
              <w:bottom w:val="single" w:sz="4" w:space="0" w:color="auto"/>
              <w:right w:val="single" w:sz="4" w:space="0" w:color="auto"/>
            </w:tcBorders>
          </w:tcPr>
          <w:p w:rsidR="008B0899" w:rsidRPr="00E04727" w:rsidRDefault="00E04727" w:rsidP="009659E1">
            <w:pPr>
              <w:jc w:val="center"/>
              <w:rPr>
                <w:rFonts w:ascii="Arial" w:hAnsi="Arial" w:cs="Arial"/>
                <w:sz w:val="20"/>
                <w:szCs w:val="20"/>
              </w:rPr>
            </w:pPr>
            <w:r w:rsidRPr="00E04727">
              <w:rPr>
                <w:rFonts w:ascii="Arial" w:hAnsi="Arial" w:cs="Arial"/>
                <w:b/>
                <w:sz w:val="20"/>
                <w:szCs w:val="20"/>
              </w:rPr>
              <w:t>BDP a</w:t>
            </w:r>
            <w:r w:rsidR="008B0899" w:rsidRPr="00E04727">
              <w:rPr>
                <w:rFonts w:ascii="Arial" w:hAnsi="Arial" w:cs="Arial"/>
                <w:b/>
                <w:sz w:val="20"/>
                <w:szCs w:val="20"/>
              </w:rPr>
              <w:t xml:space="preserve">s at Qtr </w:t>
            </w:r>
            <w:r w:rsidR="00181813">
              <w:rPr>
                <w:rFonts w:ascii="Arial" w:hAnsi="Arial" w:cs="Arial"/>
                <w:b/>
                <w:sz w:val="20"/>
                <w:szCs w:val="20"/>
              </w:rPr>
              <w:t>2</w:t>
            </w:r>
          </w:p>
        </w:tc>
      </w:tr>
      <w:tr w:rsidR="008B0899" w:rsidTr="00A6724C">
        <w:trPr>
          <w:trHeight w:val="170"/>
        </w:trPr>
        <w:tc>
          <w:tcPr>
            <w:tcW w:w="3425" w:type="dxa"/>
            <w:tcBorders>
              <w:top w:val="nil"/>
              <w:left w:val="single" w:sz="4" w:space="0" w:color="auto"/>
              <w:bottom w:val="single" w:sz="4" w:space="0" w:color="auto"/>
              <w:right w:val="single" w:sz="4" w:space="0" w:color="auto"/>
            </w:tcBorders>
            <w:noWrap/>
            <w:vAlign w:val="bottom"/>
          </w:tcPr>
          <w:p w:rsidR="008B0899" w:rsidRDefault="008B0899" w:rsidP="002512D2">
            <w:pPr>
              <w:rPr>
                <w:rFonts w:ascii="Arial" w:hAnsi="Arial" w:cs="Arial"/>
              </w:rPr>
            </w:pPr>
          </w:p>
        </w:tc>
        <w:tc>
          <w:tcPr>
            <w:tcW w:w="1620" w:type="dxa"/>
            <w:tcBorders>
              <w:top w:val="nil"/>
              <w:left w:val="nil"/>
              <w:bottom w:val="single" w:sz="4" w:space="0" w:color="auto"/>
              <w:right w:val="nil"/>
            </w:tcBorders>
            <w:vAlign w:val="bottom"/>
          </w:tcPr>
          <w:p w:rsidR="008B0899" w:rsidRDefault="008B0899" w:rsidP="002512D2">
            <w:pPr>
              <w:jc w:val="center"/>
              <w:rPr>
                <w:rFonts w:ascii="Arial" w:hAnsi="Arial" w:cs="Arial"/>
              </w:rPr>
            </w:pPr>
            <w:r>
              <w:rPr>
                <w:rFonts w:ascii="Arial" w:hAnsi="Arial" w:cs="Arial"/>
              </w:rPr>
              <w:t>£000</w:t>
            </w:r>
          </w:p>
        </w:tc>
        <w:tc>
          <w:tcPr>
            <w:tcW w:w="1440" w:type="dxa"/>
            <w:tcBorders>
              <w:top w:val="single" w:sz="4" w:space="0" w:color="auto"/>
              <w:left w:val="nil"/>
              <w:bottom w:val="single" w:sz="4" w:space="0" w:color="auto"/>
              <w:right w:val="single" w:sz="4" w:space="0" w:color="auto"/>
            </w:tcBorders>
            <w:vAlign w:val="bottom"/>
          </w:tcPr>
          <w:p w:rsidR="008B0899" w:rsidRDefault="008B0899" w:rsidP="002512D2">
            <w:pPr>
              <w:jc w:val="center"/>
              <w:rPr>
                <w:rFonts w:ascii="Arial" w:hAnsi="Arial" w:cs="Arial"/>
              </w:rPr>
            </w:pPr>
            <w:r>
              <w:rPr>
                <w:rFonts w:ascii="Arial" w:hAnsi="Arial" w:cs="Arial"/>
              </w:rPr>
              <w:t>£000</w:t>
            </w:r>
          </w:p>
        </w:tc>
        <w:tc>
          <w:tcPr>
            <w:tcW w:w="1260" w:type="dxa"/>
            <w:tcBorders>
              <w:top w:val="nil"/>
              <w:left w:val="single" w:sz="4" w:space="0" w:color="auto"/>
              <w:bottom w:val="single" w:sz="4" w:space="0" w:color="auto"/>
              <w:right w:val="single" w:sz="4" w:space="0" w:color="auto"/>
            </w:tcBorders>
            <w:vAlign w:val="bottom"/>
          </w:tcPr>
          <w:p w:rsidR="008B0899" w:rsidRDefault="008B0899" w:rsidP="002512D2">
            <w:pPr>
              <w:jc w:val="center"/>
              <w:rPr>
                <w:rFonts w:ascii="Arial" w:hAnsi="Arial" w:cs="Arial"/>
              </w:rPr>
            </w:pPr>
            <w:r>
              <w:rPr>
                <w:rFonts w:ascii="Arial" w:hAnsi="Arial" w:cs="Arial"/>
              </w:rPr>
              <w:t>%</w:t>
            </w:r>
          </w:p>
        </w:tc>
        <w:tc>
          <w:tcPr>
            <w:tcW w:w="1758" w:type="dxa"/>
            <w:tcBorders>
              <w:top w:val="single" w:sz="4" w:space="0" w:color="auto"/>
              <w:left w:val="nil"/>
              <w:bottom w:val="single" w:sz="4" w:space="0" w:color="auto"/>
              <w:right w:val="single" w:sz="4" w:space="0" w:color="auto"/>
            </w:tcBorders>
            <w:vAlign w:val="bottom"/>
          </w:tcPr>
          <w:p w:rsidR="008B0899" w:rsidRDefault="008B0899" w:rsidP="002512D2">
            <w:pPr>
              <w:jc w:val="center"/>
              <w:rPr>
                <w:rFonts w:ascii="Arial" w:hAnsi="Arial" w:cs="Arial"/>
              </w:rPr>
            </w:pPr>
            <w:r>
              <w:rPr>
                <w:rFonts w:ascii="Arial" w:hAnsi="Arial" w:cs="Arial"/>
              </w:rPr>
              <w:t>£000</w:t>
            </w:r>
          </w:p>
        </w:tc>
      </w:tr>
      <w:tr w:rsidR="00A7436E" w:rsidTr="00A6724C">
        <w:trPr>
          <w:trHeight w:val="170"/>
        </w:trPr>
        <w:tc>
          <w:tcPr>
            <w:tcW w:w="3425" w:type="dxa"/>
            <w:tcBorders>
              <w:top w:val="nil"/>
              <w:left w:val="single" w:sz="4" w:space="0" w:color="auto"/>
              <w:bottom w:val="single" w:sz="4" w:space="0" w:color="auto"/>
              <w:right w:val="single" w:sz="4" w:space="0" w:color="auto"/>
            </w:tcBorders>
            <w:noWrap/>
            <w:vAlign w:val="bottom"/>
          </w:tcPr>
          <w:p w:rsidR="00A7436E" w:rsidRDefault="00A7436E" w:rsidP="009659E1">
            <w:pPr>
              <w:rPr>
                <w:rFonts w:ascii="Arial" w:hAnsi="Arial" w:cs="Arial"/>
              </w:rPr>
            </w:pPr>
            <w:r>
              <w:rPr>
                <w:rFonts w:ascii="Arial" w:hAnsi="Arial" w:cs="Arial"/>
              </w:rPr>
              <w:t>Pre 20</w:t>
            </w:r>
            <w:r w:rsidR="008C4D6D">
              <w:rPr>
                <w:rFonts w:ascii="Arial" w:hAnsi="Arial" w:cs="Arial"/>
              </w:rPr>
              <w:t>1</w:t>
            </w:r>
            <w:r w:rsidR="009659E1">
              <w:rPr>
                <w:rFonts w:ascii="Arial" w:hAnsi="Arial" w:cs="Arial"/>
              </w:rPr>
              <w:t>3</w:t>
            </w:r>
            <w:r>
              <w:rPr>
                <w:rFonts w:ascii="Arial" w:hAnsi="Arial" w:cs="Arial"/>
              </w:rPr>
              <w:t>-201</w:t>
            </w:r>
            <w:r w:rsidR="009659E1">
              <w:rPr>
                <w:rFonts w:ascii="Arial" w:hAnsi="Arial" w:cs="Arial"/>
              </w:rPr>
              <w:t>4</w:t>
            </w:r>
          </w:p>
        </w:tc>
        <w:tc>
          <w:tcPr>
            <w:tcW w:w="1620" w:type="dxa"/>
            <w:tcBorders>
              <w:top w:val="nil"/>
              <w:left w:val="nil"/>
              <w:bottom w:val="single" w:sz="4" w:space="0" w:color="auto"/>
              <w:right w:val="nil"/>
            </w:tcBorders>
            <w:shd w:val="clear" w:color="auto" w:fill="C0C0C0"/>
          </w:tcPr>
          <w:p w:rsidR="00A7436E" w:rsidRDefault="00E7095C" w:rsidP="00DD4417">
            <w:pPr>
              <w:jc w:val="right"/>
              <w:rPr>
                <w:rFonts w:ascii="Arial" w:hAnsi="Arial" w:cs="Arial"/>
              </w:rPr>
            </w:pPr>
            <w:r>
              <w:rPr>
                <w:rFonts w:ascii="Arial" w:hAnsi="Arial" w:cs="Arial"/>
              </w:rPr>
              <w:t>462</w:t>
            </w:r>
          </w:p>
        </w:tc>
        <w:tc>
          <w:tcPr>
            <w:tcW w:w="1440" w:type="dxa"/>
            <w:tcBorders>
              <w:top w:val="single" w:sz="4" w:space="0" w:color="auto"/>
              <w:left w:val="nil"/>
              <w:bottom w:val="single" w:sz="4" w:space="0" w:color="auto"/>
              <w:right w:val="single" w:sz="4" w:space="0" w:color="auto"/>
            </w:tcBorders>
          </w:tcPr>
          <w:p w:rsidR="00A7436E" w:rsidRDefault="00181813" w:rsidP="00181813">
            <w:pPr>
              <w:jc w:val="right"/>
              <w:rPr>
                <w:rFonts w:ascii="Arial" w:hAnsi="Arial" w:cs="Arial"/>
              </w:rPr>
            </w:pPr>
            <w:r>
              <w:rPr>
                <w:rFonts w:ascii="Arial" w:hAnsi="Arial" w:cs="Arial"/>
              </w:rPr>
              <w:t>983</w:t>
            </w:r>
          </w:p>
        </w:tc>
        <w:tc>
          <w:tcPr>
            <w:tcW w:w="1260" w:type="dxa"/>
            <w:tcBorders>
              <w:top w:val="nil"/>
              <w:left w:val="single" w:sz="4" w:space="0" w:color="auto"/>
              <w:bottom w:val="single" w:sz="4" w:space="0" w:color="auto"/>
              <w:right w:val="single" w:sz="4" w:space="0" w:color="auto"/>
            </w:tcBorders>
          </w:tcPr>
          <w:p w:rsidR="00A7436E" w:rsidRDefault="00A7436E" w:rsidP="002512D2">
            <w:pPr>
              <w:jc w:val="right"/>
              <w:rPr>
                <w:rFonts w:ascii="Arial" w:hAnsi="Arial" w:cs="Arial"/>
              </w:rPr>
            </w:pPr>
            <w:r>
              <w:rPr>
                <w:rFonts w:ascii="Arial" w:hAnsi="Arial" w:cs="Arial"/>
              </w:rPr>
              <w:t>100</w:t>
            </w:r>
          </w:p>
        </w:tc>
        <w:tc>
          <w:tcPr>
            <w:tcW w:w="1758" w:type="dxa"/>
            <w:tcBorders>
              <w:top w:val="single" w:sz="4" w:space="0" w:color="auto"/>
              <w:left w:val="nil"/>
              <w:bottom w:val="single" w:sz="4" w:space="0" w:color="auto"/>
              <w:right w:val="single" w:sz="4" w:space="0" w:color="auto"/>
            </w:tcBorders>
          </w:tcPr>
          <w:p w:rsidR="00A7436E" w:rsidRDefault="00181813" w:rsidP="00181813">
            <w:pPr>
              <w:jc w:val="right"/>
              <w:rPr>
                <w:rFonts w:ascii="Arial" w:hAnsi="Arial" w:cs="Arial"/>
              </w:rPr>
            </w:pPr>
            <w:r>
              <w:rPr>
                <w:rFonts w:ascii="Arial" w:hAnsi="Arial" w:cs="Arial"/>
              </w:rPr>
              <w:t>983</w:t>
            </w:r>
          </w:p>
        </w:tc>
      </w:tr>
      <w:tr w:rsidR="00A7436E" w:rsidTr="00A6724C">
        <w:trPr>
          <w:trHeight w:val="255"/>
        </w:trPr>
        <w:tc>
          <w:tcPr>
            <w:tcW w:w="3425" w:type="dxa"/>
            <w:tcBorders>
              <w:top w:val="nil"/>
              <w:left w:val="single" w:sz="4" w:space="0" w:color="auto"/>
              <w:bottom w:val="single" w:sz="4" w:space="0" w:color="auto"/>
              <w:right w:val="single" w:sz="4" w:space="0" w:color="auto"/>
            </w:tcBorders>
            <w:noWrap/>
            <w:vAlign w:val="bottom"/>
          </w:tcPr>
          <w:p w:rsidR="00A7436E" w:rsidRDefault="00A7436E" w:rsidP="009659E1">
            <w:pPr>
              <w:rPr>
                <w:rFonts w:ascii="Arial" w:hAnsi="Arial" w:cs="Arial"/>
              </w:rPr>
            </w:pPr>
            <w:r>
              <w:rPr>
                <w:rFonts w:ascii="Arial" w:hAnsi="Arial" w:cs="Arial"/>
              </w:rPr>
              <w:t>201</w:t>
            </w:r>
            <w:r w:rsidR="009659E1">
              <w:rPr>
                <w:rFonts w:ascii="Arial" w:hAnsi="Arial" w:cs="Arial"/>
              </w:rPr>
              <w:t>3</w:t>
            </w:r>
            <w:r>
              <w:rPr>
                <w:rFonts w:ascii="Arial" w:hAnsi="Arial" w:cs="Arial"/>
              </w:rPr>
              <w:t>-201</w:t>
            </w:r>
            <w:r w:rsidR="009659E1">
              <w:rPr>
                <w:rFonts w:ascii="Arial" w:hAnsi="Arial" w:cs="Arial"/>
              </w:rPr>
              <w:t>4</w:t>
            </w:r>
            <w:r>
              <w:rPr>
                <w:rFonts w:ascii="Arial" w:hAnsi="Arial" w:cs="Arial"/>
              </w:rPr>
              <w:t xml:space="preserve"> </w:t>
            </w:r>
          </w:p>
        </w:tc>
        <w:tc>
          <w:tcPr>
            <w:tcW w:w="1620" w:type="dxa"/>
            <w:tcBorders>
              <w:top w:val="nil"/>
              <w:left w:val="nil"/>
              <w:bottom w:val="single" w:sz="4" w:space="0" w:color="auto"/>
              <w:right w:val="nil"/>
            </w:tcBorders>
            <w:shd w:val="clear" w:color="auto" w:fill="C0C0C0"/>
          </w:tcPr>
          <w:p w:rsidR="00A7436E" w:rsidRDefault="00E7095C" w:rsidP="00DD4417">
            <w:pPr>
              <w:jc w:val="right"/>
              <w:rPr>
                <w:rFonts w:ascii="Arial" w:hAnsi="Arial" w:cs="Arial"/>
              </w:rPr>
            </w:pPr>
            <w:r>
              <w:rPr>
                <w:rFonts w:ascii="Arial" w:hAnsi="Arial" w:cs="Arial"/>
              </w:rPr>
              <w:t>531</w:t>
            </w:r>
          </w:p>
        </w:tc>
        <w:tc>
          <w:tcPr>
            <w:tcW w:w="1440" w:type="dxa"/>
            <w:tcBorders>
              <w:top w:val="single" w:sz="4" w:space="0" w:color="auto"/>
              <w:left w:val="nil"/>
              <w:bottom w:val="single" w:sz="4" w:space="0" w:color="auto"/>
              <w:right w:val="single" w:sz="4" w:space="0" w:color="auto"/>
            </w:tcBorders>
          </w:tcPr>
          <w:p w:rsidR="00A7436E" w:rsidRDefault="00181813" w:rsidP="00181813">
            <w:pPr>
              <w:jc w:val="right"/>
              <w:rPr>
                <w:rFonts w:ascii="Arial" w:hAnsi="Arial" w:cs="Arial"/>
              </w:rPr>
            </w:pPr>
            <w:r>
              <w:rPr>
                <w:rFonts w:ascii="Arial" w:hAnsi="Arial" w:cs="Arial"/>
              </w:rPr>
              <w:t>682</w:t>
            </w:r>
          </w:p>
        </w:tc>
        <w:tc>
          <w:tcPr>
            <w:tcW w:w="1260" w:type="dxa"/>
            <w:tcBorders>
              <w:top w:val="nil"/>
              <w:left w:val="single" w:sz="4" w:space="0" w:color="auto"/>
              <w:bottom w:val="single" w:sz="4" w:space="0" w:color="auto"/>
              <w:right w:val="single" w:sz="4" w:space="0" w:color="auto"/>
            </w:tcBorders>
          </w:tcPr>
          <w:p w:rsidR="00A7436E" w:rsidRDefault="00A7436E" w:rsidP="001E7D94">
            <w:pPr>
              <w:jc w:val="right"/>
              <w:rPr>
                <w:rFonts w:ascii="Arial" w:hAnsi="Arial" w:cs="Arial"/>
              </w:rPr>
            </w:pPr>
            <w:r>
              <w:rPr>
                <w:rFonts w:ascii="Arial" w:hAnsi="Arial" w:cs="Arial"/>
              </w:rPr>
              <w:t>100</w:t>
            </w:r>
          </w:p>
        </w:tc>
        <w:tc>
          <w:tcPr>
            <w:tcW w:w="1758" w:type="dxa"/>
            <w:tcBorders>
              <w:top w:val="single" w:sz="4" w:space="0" w:color="auto"/>
              <w:left w:val="nil"/>
              <w:bottom w:val="single" w:sz="4" w:space="0" w:color="auto"/>
              <w:right w:val="single" w:sz="4" w:space="0" w:color="auto"/>
            </w:tcBorders>
          </w:tcPr>
          <w:p w:rsidR="00A7436E" w:rsidRDefault="00181813" w:rsidP="00181813">
            <w:pPr>
              <w:jc w:val="right"/>
              <w:rPr>
                <w:rFonts w:ascii="Arial" w:hAnsi="Arial" w:cs="Arial"/>
              </w:rPr>
            </w:pPr>
            <w:r>
              <w:rPr>
                <w:rFonts w:ascii="Arial" w:hAnsi="Arial" w:cs="Arial"/>
              </w:rPr>
              <w:t>682</w:t>
            </w:r>
          </w:p>
        </w:tc>
      </w:tr>
      <w:tr w:rsidR="00A7436E" w:rsidTr="00A6724C">
        <w:trPr>
          <w:trHeight w:val="255"/>
        </w:trPr>
        <w:tc>
          <w:tcPr>
            <w:tcW w:w="3425" w:type="dxa"/>
            <w:tcBorders>
              <w:top w:val="nil"/>
              <w:left w:val="single" w:sz="4" w:space="0" w:color="auto"/>
              <w:bottom w:val="single" w:sz="4" w:space="0" w:color="auto"/>
              <w:right w:val="single" w:sz="4" w:space="0" w:color="auto"/>
            </w:tcBorders>
            <w:noWrap/>
            <w:vAlign w:val="bottom"/>
          </w:tcPr>
          <w:p w:rsidR="00A7436E" w:rsidRDefault="00A7436E" w:rsidP="009659E1">
            <w:pPr>
              <w:rPr>
                <w:rFonts w:ascii="Arial" w:hAnsi="Arial" w:cs="Arial"/>
              </w:rPr>
            </w:pPr>
            <w:r>
              <w:rPr>
                <w:rFonts w:ascii="Arial" w:hAnsi="Arial" w:cs="Arial"/>
              </w:rPr>
              <w:t>201</w:t>
            </w:r>
            <w:r w:rsidR="009659E1">
              <w:rPr>
                <w:rFonts w:ascii="Arial" w:hAnsi="Arial" w:cs="Arial"/>
              </w:rPr>
              <w:t>4</w:t>
            </w:r>
            <w:r>
              <w:rPr>
                <w:rFonts w:ascii="Arial" w:hAnsi="Arial" w:cs="Arial"/>
              </w:rPr>
              <w:t>-201</w:t>
            </w:r>
            <w:r w:rsidR="009659E1">
              <w:rPr>
                <w:rFonts w:ascii="Arial" w:hAnsi="Arial" w:cs="Arial"/>
              </w:rPr>
              <w:t>5</w:t>
            </w:r>
          </w:p>
        </w:tc>
        <w:tc>
          <w:tcPr>
            <w:tcW w:w="1620" w:type="dxa"/>
            <w:tcBorders>
              <w:top w:val="nil"/>
              <w:left w:val="nil"/>
              <w:bottom w:val="single" w:sz="4" w:space="0" w:color="auto"/>
              <w:right w:val="nil"/>
            </w:tcBorders>
            <w:shd w:val="clear" w:color="auto" w:fill="C0C0C0"/>
          </w:tcPr>
          <w:p w:rsidR="00A7436E" w:rsidRDefault="00E7095C" w:rsidP="00E7095C">
            <w:pPr>
              <w:jc w:val="right"/>
              <w:rPr>
                <w:rFonts w:ascii="Arial" w:hAnsi="Arial" w:cs="Arial"/>
              </w:rPr>
            </w:pPr>
            <w:r>
              <w:rPr>
                <w:rFonts w:ascii="Arial" w:hAnsi="Arial" w:cs="Arial"/>
              </w:rPr>
              <w:t>2</w:t>
            </w:r>
            <w:r w:rsidR="00A7436E">
              <w:rPr>
                <w:rFonts w:ascii="Arial" w:hAnsi="Arial" w:cs="Arial"/>
              </w:rPr>
              <w:t>,</w:t>
            </w:r>
            <w:r>
              <w:rPr>
                <w:rFonts w:ascii="Arial" w:hAnsi="Arial" w:cs="Arial"/>
              </w:rPr>
              <w:t>597</w:t>
            </w:r>
          </w:p>
        </w:tc>
        <w:tc>
          <w:tcPr>
            <w:tcW w:w="1440" w:type="dxa"/>
            <w:tcBorders>
              <w:top w:val="single" w:sz="4" w:space="0" w:color="auto"/>
              <w:left w:val="nil"/>
              <w:bottom w:val="single" w:sz="4" w:space="0" w:color="auto"/>
              <w:right w:val="single" w:sz="4" w:space="0" w:color="auto"/>
            </w:tcBorders>
          </w:tcPr>
          <w:p w:rsidR="00A7436E" w:rsidRDefault="00181813" w:rsidP="00181813">
            <w:pPr>
              <w:jc w:val="right"/>
              <w:rPr>
                <w:rFonts w:ascii="Arial" w:hAnsi="Arial" w:cs="Arial"/>
              </w:rPr>
            </w:pPr>
            <w:r>
              <w:rPr>
                <w:rFonts w:ascii="Arial" w:hAnsi="Arial" w:cs="Arial"/>
              </w:rPr>
              <w:t>1,862</w:t>
            </w:r>
          </w:p>
        </w:tc>
        <w:tc>
          <w:tcPr>
            <w:tcW w:w="1260" w:type="dxa"/>
            <w:tcBorders>
              <w:top w:val="nil"/>
              <w:left w:val="single" w:sz="4" w:space="0" w:color="auto"/>
              <w:bottom w:val="single" w:sz="4" w:space="0" w:color="auto"/>
              <w:right w:val="single" w:sz="4" w:space="0" w:color="auto"/>
            </w:tcBorders>
          </w:tcPr>
          <w:p w:rsidR="00A7436E" w:rsidRDefault="008C4D6D" w:rsidP="008C4D6D">
            <w:pPr>
              <w:jc w:val="right"/>
              <w:rPr>
                <w:rFonts w:ascii="Arial" w:hAnsi="Arial" w:cs="Arial"/>
              </w:rPr>
            </w:pPr>
            <w:r>
              <w:rPr>
                <w:rFonts w:ascii="Arial" w:hAnsi="Arial" w:cs="Arial"/>
              </w:rPr>
              <w:t>50</w:t>
            </w:r>
          </w:p>
        </w:tc>
        <w:tc>
          <w:tcPr>
            <w:tcW w:w="1758" w:type="dxa"/>
            <w:tcBorders>
              <w:top w:val="single" w:sz="4" w:space="0" w:color="auto"/>
              <w:left w:val="nil"/>
              <w:bottom w:val="single" w:sz="4" w:space="0" w:color="auto"/>
              <w:right w:val="single" w:sz="4" w:space="0" w:color="auto"/>
            </w:tcBorders>
          </w:tcPr>
          <w:p w:rsidR="00A7436E" w:rsidRDefault="00181813" w:rsidP="00181813">
            <w:pPr>
              <w:jc w:val="right"/>
              <w:rPr>
                <w:rFonts w:ascii="Arial" w:hAnsi="Arial" w:cs="Arial"/>
              </w:rPr>
            </w:pPr>
            <w:r>
              <w:rPr>
                <w:rFonts w:ascii="Arial" w:hAnsi="Arial" w:cs="Arial"/>
              </w:rPr>
              <w:t>931</w:t>
            </w:r>
          </w:p>
        </w:tc>
      </w:tr>
      <w:tr w:rsidR="00A7436E" w:rsidTr="00A6724C">
        <w:trPr>
          <w:trHeight w:val="255"/>
        </w:trPr>
        <w:tc>
          <w:tcPr>
            <w:tcW w:w="3425" w:type="dxa"/>
            <w:tcBorders>
              <w:top w:val="nil"/>
              <w:left w:val="single" w:sz="4" w:space="0" w:color="auto"/>
              <w:bottom w:val="single" w:sz="4" w:space="0" w:color="auto"/>
              <w:right w:val="single" w:sz="4" w:space="0" w:color="auto"/>
            </w:tcBorders>
            <w:noWrap/>
            <w:vAlign w:val="bottom"/>
          </w:tcPr>
          <w:p w:rsidR="00A7436E" w:rsidRDefault="00A7436E" w:rsidP="009659E1">
            <w:pPr>
              <w:rPr>
                <w:rFonts w:ascii="Arial" w:hAnsi="Arial" w:cs="Arial"/>
              </w:rPr>
            </w:pPr>
            <w:r>
              <w:rPr>
                <w:rFonts w:ascii="Arial" w:hAnsi="Arial" w:cs="Arial"/>
              </w:rPr>
              <w:t>201</w:t>
            </w:r>
            <w:r w:rsidR="009659E1">
              <w:rPr>
                <w:rFonts w:ascii="Arial" w:hAnsi="Arial" w:cs="Arial"/>
              </w:rPr>
              <w:t>5</w:t>
            </w:r>
            <w:r>
              <w:rPr>
                <w:rFonts w:ascii="Arial" w:hAnsi="Arial" w:cs="Arial"/>
              </w:rPr>
              <w:t>-201</w:t>
            </w:r>
            <w:r w:rsidR="009659E1">
              <w:rPr>
                <w:rFonts w:ascii="Arial" w:hAnsi="Arial" w:cs="Arial"/>
              </w:rPr>
              <w:t>6</w:t>
            </w:r>
          </w:p>
        </w:tc>
        <w:tc>
          <w:tcPr>
            <w:tcW w:w="1620" w:type="dxa"/>
            <w:tcBorders>
              <w:top w:val="nil"/>
              <w:left w:val="nil"/>
              <w:bottom w:val="single" w:sz="4" w:space="0" w:color="auto"/>
              <w:right w:val="nil"/>
            </w:tcBorders>
            <w:shd w:val="clear" w:color="auto" w:fill="C0C0C0"/>
          </w:tcPr>
          <w:p w:rsidR="00A7436E" w:rsidRDefault="00A7436E" w:rsidP="00FF1B8E">
            <w:pPr>
              <w:jc w:val="right"/>
              <w:rPr>
                <w:rFonts w:ascii="Arial" w:hAnsi="Arial" w:cs="Arial"/>
              </w:rPr>
            </w:pPr>
            <w:r>
              <w:rPr>
                <w:rFonts w:ascii="Arial" w:hAnsi="Arial" w:cs="Arial"/>
              </w:rPr>
              <w:t>0</w:t>
            </w:r>
          </w:p>
        </w:tc>
        <w:tc>
          <w:tcPr>
            <w:tcW w:w="1440" w:type="dxa"/>
            <w:tcBorders>
              <w:top w:val="single" w:sz="4" w:space="0" w:color="auto"/>
              <w:left w:val="nil"/>
              <w:bottom w:val="single" w:sz="4" w:space="0" w:color="auto"/>
              <w:right w:val="single" w:sz="4" w:space="0" w:color="auto"/>
            </w:tcBorders>
          </w:tcPr>
          <w:p w:rsidR="00A7436E" w:rsidRDefault="009659E1" w:rsidP="00181813">
            <w:pPr>
              <w:jc w:val="right"/>
              <w:rPr>
                <w:rFonts w:ascii="Arial" w:hAnsi="Arial" w:cs="Arial"/>
              </w:rPr>
            </w:pPr>
            <w:r>
              <w:rPr>
                <w:rFonts w:ascii="Arial" w:hAnsi="Arial" w:cs="Arial"/>
              </w:rPr>
              <w:t>1</w:t>
            </w:r>
            <w:r w:rsidR="003D76F2">
              <w:rPr>
                <w:rFonts w:ascii="Arial" w:hAnsi="Arial" w:cs="Arial"/>
              </w:rPr>
              <w:t>,</w:t>
            </w:r>
            <w:r w:rsidR="00181813">
              <w:rPr>
                <w:rFonts w:ascii="Arial" w:hAnsi="Arial" w:cs="Arial"/>
              </w:rPr>
              <w:t>701</w:t>
            </w:r>
          </w:p>
        </w:tc>
        <w:tc>
          <w:tcPr>
            <w:tcW w:w="1260" w:type="dxa"/>
            <w:tcBorders>
              <w:top w:val="nil"/>
              <w:left w:val="single" w:sz="4" w:space="0" w:color="auto"/>
              <w:bottom w:val="single" w:sz="4" w:space="0" w:color="auto"/>
              <w:right w:val="single" w:sz="4" w:space="0" w:color="auto"/>
            </w:tcBorders>
          </w:tcPr>
          <w:p w:rsidR="00A7436E" w:rsidRDefault="008C4D6D" w:rsidP="008C4D6D">
            <w:pPr>
              <w:jc w:val="right"/>
              <w:rPr>
                <w:rFonts w:ascii="Arial" w:hAnsi="Arial" w:cs="Arial"/>
              </w:rPr>
            </w:pPr>
            <w:r>
              <w:rPr>
                <w:rFonts w:ascii="Arial" w:hAnsi="Arial" w:cs="Arial"/>
              </w:rPr>
              <w:t>3</w:t>
            </w:r>
            <w:r w:rsidR="00A7436E">
              <w:rPr>
                <w:rFonts w:ascii="Arial" w:hAnsi="Arial" w:cs="Arial"/>
              </w:rPr>
              <w:t>0</w:t>
            </w:r>
          </w:p>
        </w:tc>
        <w:tc>
          <w:tcPr>
            <w:tcW w:w="1758" w:type="dxa"/>
            <w:tcBorders>
              <w:top w:val="single" w:sz="4" w:space="0" w:color="auto"/>
              <w:left w:val="nil"/>
              <w:bottom w:val="single" w:sz="4" w:space="0" w:color="auto"/>
              <w:right w:val="single" w:sz="4" w:space="0" w:color="auto"/>
            </w:tcBorders>
          </w:tcPr>
          <w:p w:rsidR="00A7436E" w:rsidRDefault="00181813" w:rsidP="00181813">
            <w:pPr>
              <w:jc w:val="right"/>
              <w:rPr>
                <w:rFonts w:ascii="Arial" w:hAnsi="Arial" w:cs="Arial"/>
              </w:rPr>
            </w:pPr>
            <w:r>
              <w:rPr>
                <w:rFonts w:ascii="Arial" w:hAnsi="Arial" w:cs="Arial"/>
              </w:rPr>
              <w:t>5</w:t>
            </w:r>
            <w:r w:rsidR="009659E1">
              <w:rPr>
                <w:rFonts w:ascii="Arial" w:hAnsi="Arial" w:cs="Arial"/>
              </w:rPr>
              <w:t>10</w:t>
            </w:r>
          </w:p>
        </w:tc>
      </w:tr>
      <w:tr w:rsidR="00A7436E" w:rsidTr="00A6724C">
        <w:trPr>
          <w:trHeight w:val="255"/>
        </w:trPr>
        <w:tc>
          <w:tcPr>
            <w:tcW w:w="3425" w:type="dxa"/>
            <w:tcBorders>
              <w:top w:val="nil"/>
              <w:left w:val="single" w:sz="4" w:space="0" w:color="auto"/>
              <w:bottom w:val="single" w:sz="4" w:space="0" w:color="auto"/>
              <w:right w:val="single" w:sz="4" w:space="0" w:color="auto"/>
            </w:tcBorders>
            <w:noWrap/>
          </w:tcPr>
          <w:p w:rsidR="00A7436E" w:rsidRDefault="00A7436E" w:rsidP="000E0EB9">
            <w:pPr>
              <w:rPr>
                <w:rFonts w:ascii="Arial" w:hAnsi="Arial" w:cs="Arial"/>
              </w:rPr>
            </w:pPr>
            <w:r>
              <w:rPr>
                <w:rFonts w:ascii="Arial" w:hAnsi="Arial" w:cs="Arial"/>
                <w:b/>
                <w:bCs/>
              </w:rPr>
              <w:t>Totals</w:t>
            </w:r>
          </w:p>
        </w:tc>
        <w:tc>
          <w:tcPr>
            <w:tcW w:w="1620" w:type="dxa"/>
            <w:tcBorders>
              <w:top w:val="nil"/>
              <w:left w:val="nil"/>
              <w:bottom w:val="single" w:sz="4" w:space="0" w:color="auto"/>
              <w:right w:val="nil"/>
            </w:tcBorders>
            <w:shd w:val="clear" w:color="auto" w:fill="C0C0C0"/>
          </w:tcPr>
          <w:p w:rsidR="00A7436E" w:rsidRDefault="003D3DF9" w:rsidP="00E7095C">
            <w:pPr>
              <w:jc w:val="right"/>
              <w:rPr>
                <w:rFonts w:ascii="Arial" w:hAnsi="Arial" w:cs="Arial"/>
              </w:rPr>
            </w:pPr>
            <w:r>
              <w:rPr>
                <w:rFonts w:ascii="Arial" w:hAnsi="Arial" w:cs="Arial"/>
                <w:b/>
                <w:bCs/>
              </w:rPr>
              <w:t>3</w:t>
            </w:r>
            <w:r w:rsidR="00A7436E">
              <w:rPr>
                <w:rFonts w:ascii="Arial" w:hAnsi="Arial" w:cs="Arial"/>
                <w:b/>
                <w:bCs/>
              </w:rPr>
              <w:t>,</w:t>
            </w:r>
            <w:r w:rsidR="00E7095C">
              <w:rPr>
                <w:rFonts w:ascii="Arial" w:hAnsi="Arial" w:cs="Arial"/>
                <w:b/>
                <w:bCs/>
              </w:rPr>
              <w:t>590</w:t>
            </w:r>
          </w:p>
        </w:tc>
        <w:tc>
          <w:tcPr>
            <w:tcW w:w="1440" w:type="dxa"/>
            <w:tcBorders>
              <w:top w:val="single" w:sz="4" w:space="0" w:color="auto"/>
              <w:left w:val="nil"/>
              <w:bottom w:val="single" w:sz="4" w:space="0" w:color="auto"/>
              <w:right w:val="single" w:sz="4" w:space="0" w:color="auto"/>
            </w:tcBorders>
          </w:tcPr>
          <w:p w:rsidR="00A7436E" w:rsidRDefault="00181813" w:rsidP="00181813">
            <w:pPr>
              <w:jc w:val="right"/>
              <w:rPr>
                <w:rFonts w:ascii="Arial" w:hAnsi="Arial" w:cs="Arial"/>
              </w:rPr>
            </w:pPr>
            <w:r>
              <w:rPr>
                <w:rFonts w:ascii="Arial" w:hAnsi="Arial" w:cs="Arial"/>
                <w:b/>
                <w:bCs/>
              </w:rPr>
              <w:t>5</w:t>
            </w:r>
            <w:r w:rsidR="00F15BA9">
              <w:rPr>
                <w:rFonts w:ascii="Arial" w:hAnsi="Arial" w:cs="Arial"/>
                <w:b/>
                <w:bCs/>
              </w:rPr>
              <w:t>,</w:t>
            </w:r>
            <w:r>
              <w:rPr>
                <w:rFonts w:ascii="Arial" w:hAnsi="Arial" w:cs="Arial"/>
                <w:b/>
                <w:bCs/>
              </w:rPr>
              <w:t>228</w:t>
            </w:r>
          </w:p>
        </w:tc>
        <w:tc>
          <w:tcPr>
            <w:tcW w:w="1260" w:type="dxa"/>
            <w:tcBorders>
              <w:top w:val="nil"/>
              <w:left w:val="single" w:sz="4" w:space="0" w:color="auto"/>
              <w:bottom w:val="single" w:sz="4" w:space="0" w:color="auto"/>
              <w:right w:val="single" w:sz="4" w:space="0" w:color="auto"/>
            </w:tcBorders>
          </w:tcPr>
          <w:p w:rsidR="00A7436E" w:rsidRDefault="00A7436E" w:rsidP="001E7D94">
            <w:pPr>
              <w:jc w:val="right"/>
              <w:rPr>
                <w:rFonts w:ascii="Arial" w:hAnsi="Arial" w:cs="Arial"/>
              </w:rPr>
            </w:pPr>
          </w:p>
        </w:tc>
        <w:tc>
          <w:tcPr>
            <w:tcW w:w="1758" w:type="dxa"/>
            <w:tcBorders>
              <w:top w:val="single" w:sz="4" w:space="0" w:color="auto"/>
              <w:left w:val="nil"/>
              <w:bottom w:val="single" w:sz="4" w:space="0" w:color="auto"/>
              <w:right w:val="single" w:sz="4" w:space="0" w:color="auto"/>
            </w:tcBorders>
          </w:tcPr>
          <w:p w:rsidR="00A7436E" w:rsidRDefault="009659E1" w:rsidP="00181813">
            <w:pPr>
              <w:jc w:val="right"/>
              <w:rPr>
                <w:rFonts w:ascii="Arial" w:hAnsi="Arial" w:cs="Arial"/>
              </w:rPr>
            </w:pPr>
            <w:r>
              <w:rPr>
                <w:rFonts w:ascii="Arial" w:hAnsi="Arial" w:cs="Arial"/>
                <w:b/>
                <w:bCs/>
              </w:rPr>
              <w:t>3</w:t>
            </w:r>
            <w:r w:rsidR="00F15BA9">
              <w:rPr>
                <w:rFonts w:ascii="Arial" w:hAnsi="Arial" w:cs="Arial"/>
                <w:b/>
                <w:bCs/>
              </w:rPr>
              <w:t>,</w:t>
            </w:r>
            <w:r>
              <w:rPr>
                <w:rFonts w:ascii="Arial" w:hAnsi="Arial" w:cs="Arial"/>
                <w:b/>
                <w:bCs/>
              </w:rPr>
              <w:t>1</w:t>
            </w:r>
            <w:r w:rsidR="00181813">
              <w:rPr>
                <w:rFonts w:ascii="Arial" w:hAnsi="Arial" w:cs="Arial"/>
                <w:b/>
                <w:bCs/>
              </w:rPr>
              <w:t>06</w:t>
            </w:r>
          </w:p>
        </w:tc>
      </w:tr>
      <w:tr w:rsidR="00A7436E" w:rsidTr="00A6724C">
        <w:trPr>
          <w:trHeight w:val="255"/>
        </w:trPr>
        <w:tc>
          <w:tcPr>
            <w:tcW w:w="3425" w:type="dxa"/>
            <w:tcBorders>
              <w:top w:val="nil"/>
              <w:left w:val="single" w:sz="4" w:space="0" w:color="auto"/>
              <w:bottom w:val="single" w:sz="4" w:space="0" w:color="auto"/>
              <w:right w:val="single" w:sz="4" w:space="0" w:color="auto"/>
            </w:tcBorders>
            <w:noWrap/>
          </w:tcPr>
          <w:p w:rsidR="00A7436E" w:rsidRDefault="00A7436E" w:rsidP="002512D2">
            <w:pPr>
              <w:rPr>
                <w:rFonts w:ascii="Arial" w:hAnsi="Arial" w:cs="Arial"/>
                <w:b/>
                <w:bCs/>
              </w:rPr>
            </w:pPr>
          </w:p>
        </w:tc>
        <w:tc>
          <w:tcPr>
            <w:tcW w:w="1620" w:type="dxa"/>
            <w:tcBorders>
              <w:top w:val="nil"/>
              <w:left w:val="nil"/>
              <w:bottom w:val="single" w:sz="4" w:space="0" w:color="auto"/>
              <w:right w:val="nil"/>
            </w:tcBorders>
            <w:shd w:val="clear" w:color="auto" w:fill="C0C0C0"/>
          </w:tcPr>
          <w:p w:rsidR="00A7436E" w:rsidRDefault="00A7436E" w:rsidP="00FF1B8E">
            <w:pPr>
              <w:jc w:val="right"/>
              <w:rPr>
                <w:rFonts w:ascii="Arial" w:hAnsi="Arial" w:cs="Arial"/>
                <w:b/>
                <w:bCs/>
              </w:rPr>
            </w:pPr>
          </w:p>
        </w:tc>
        <w:tc>
          <w:tcPr>
            <w:tcW w:w="1440" w:type="dxa"/>
            <w:tcBorders>
              <w:top w:val="single" w:sz="4" w:space="0" w:color="auto"/>
              <w:left w:val="nil"/>
              <w:bottom w:val="single" w:sz="4" w:space="0" w:color="auto"/>
              <w:right w:val="single" w:sz="4" w:space="0" w:color="auto"/>
            </w:tcBorders>
          </w:tcPr>
          <w:p w:rsidR="00A7436E" w:rsidRDefault="00A7436E" w:rsidP="00FF1B8E">
            <w:pPr>
              <w:jc w:val="right"/>
              <w:rPr>
                <w:rFonts w:ascii="Arial" w:hAnsi="Arial" w:cs="Arial"/>
                <w:b/>
                <w:bCs/>
              </w:rPr>
            </w:pPr>
          </w:p>
        </w:tc>
        <w:tc>
          <w:tcPr>
            <w:tcW w:w="1260" w:type="dxa"/>
            <w:tcBorders>
              <w:top w:val="nil"/>
              <w:left w:val="single" w:sz="4" w:space="0" w:color="auto"/>
              <w:bottom w:val="single" w:sz="4" w:space="0" w:color="auto"/>
              <w:right w:val="single" w:sz="4" w:space="0" w:color="auto"/>
            </w:tcBorders>
          </w:tcPr>
          <w:p w:rsidR="00A7436E" w:rsidRDefault="00A7436E" w:rsidP="002512D2">
            <w:pPr>
              <w:jc w:val="right"/>
              <w:rPr>
                <w:rFonts w:ascii="Arial" w:hAnsi="Arial" w:cs="Arial"/>
                <w:b/>
                <w:bCs/>
              </w:rPr>
            </w:pPr>
          </w:p>
        </w:tc>
        <w:tc>
          <w:tcPr>
            <w:tcW w:w="1758" w:type="dxa"/>
            <w:tcBorders>
              <w:top w:val="single" w:sz="4" w:space="0" w:color="auto"/>
              <w:left w:val="nil"/>
              <w:bottom w:val="single" w:sz="4" w:space="0" w:color="auto"/>
              <w:right w:val="single" w:sz="4" w:space="0" w:color="auto"/>
            </w:tcBorders>
          </w:tcPr>
          <w:p w:rsidR="00A7436E" w:rsidRDefault="00A7436E" w:rsidP="00FF1B8E">
            <w:pPr>
              <w:jc w:val="right"/>
              <w:rPr>
                <w:rFonts w:ascii="Arial" w:hAnsi="Arial" w:cs="Arial"/>
                <w:b/>
                <w:bCs/>
              </w:rPr>
            </w:pPr>
          </w:p>
        </w:tc>
      </w:tr>
    </w:tbl>
    <w:p w:rsidR="008B0899" w:rsidRDefault="008B0899" w:rsidP="00C11259">
      <w:pPr>
        <w:jc w:val="both"/>
        <w:rPr>
          <w:rFonts w:ascii="Arial" w:hAnsi="Arial" w:cs="Arial"/>
          <w:sz w:val="20"/>
          <w:szCs w:val="20"/>
        </w:rPr>
      </w:pPr>
    </w:p>
    <w:p w:rsidR="00237BA3" w:rsidRPr="00E6646A" w:rsidRDefault="00237BA3" w:rsidP="00237BA3">
      <w:pPr>
        <w:pStyle w:val="BodyText3"/>
        <w:ind w:left="-180"/>
        <w:rPr>
          <w:lang w:val="en-US"/>
        </w:rPr>
      </w:pPr>
    </w:p>
    <w:tbl>
      <w:tblPr>
        <w:tblW w:w="9503" w:type="dxa"/>
        <w:tblInd w:w="103" w:type="dxa"/>
        <w:tblLayout w:type="fixed"/>
        <w:tblLook w:val="0000" w:firstRow="0" w:lastRow="0" w:firstColumn="0" w:lastColumn="0" w:noHBand="0" w:noVBand="0"/>
      </w:tblPr>
      <w:tblGrid>
        <w:gridCol w:w="3425"/>
        <w:gridCol w:w="1620"/>
        <w:gridCol w:w="1440"/>
        <w:gridCol w:w="1260"/>
        <w:gridCol w:w="1758"/>
      </w:tblGrid>
      <w:tr w:rsidR="001E7D94" w:rsidRPr="00E04727" w:rsidTr="00A6724C">
        <w:trPr>
          <w:trHeight w:val="524"/>
        </w:trPr>
        <w:tc>
          <w:tcPr>
            <w:tcW w:w="3425" w:type="dxa"/>
            <w:tcBorders>
              <w:top w:val="single" w:sz="4" w:space="0" w:color="auto"/>
              <w:left w:val="single" w:sz="4" w:space="0" w:color="auto"/>
              <w:bottom w:val="single" w:sz="4" w:space="0" w:color="auto"/>
              <w:right w:val="single" w:sz="4" w:space="0" w:color="auto"/>
            </w:tcBorders>
            <w:noWrap/>
          </w:tcPr>
          <w:p w:rsidR="001E7D94" w:rsidRDefault="001E7D94" w:rsidP="001E7D94">
            <w:pPr>
              <w:rPr>
                <w:rFonts w:ascii="Arial" w:hAnsi="Arial" w:cs="Arial"/>
                <w:b/>
                <w:sz w:val="20"/>
                <w:szCs w:val="20"/>
              </w:rPr>
            </w:pPr>
            <w:r w:rsidRPr="00E04727">
              <w:rPr>
                <w:rFonts w:ascii="Arial" w:hAnsi="Arial" w:cs="Arial"/>
                <w:b/>
                <w:sz w:val="20"/>
                <w:szCs w:val="20"/>
              </w:rPr>
              <w:t>Housing Benefit</w:t>
            </w:r>
          </w:p>
          <w:p w:rsidR="001E7D94" w:rsidRPr="00E04727" w:rsidRDefault="001E7D94" w:rsidP="001E7D94">
            <w:pPr>
              <w:rPr>
                <w:rFonts w:ascii="Arial" w:hAnsi="Arial" w:cs="Arial"/>
                <w:b/>
                <w:sz w:val="20"/>
                <w:szCs w:val="20"/>
              </w:rPr>
            </w:pPr>
            <w:r>
              <w:rPr>
                <w:rFonts w:ascii="Arial" w:hAnsi="Arial" w:cs="Arial"/>
                <w:b/>
                <w:sz w:val="20"/>
                <w:szCs w:val="20"/>
              </w:rPr>
              <w:t>LIVE CASES</w:t>
            </w:r>
          </w:p>
        </w:tc>
        <w:tc>
          <w:tcPr>
            <w:tcW w:w="1620" w:type="dxa"/>
            <w:tcBorders>
              <w:top w:val="single" w:sz="4" w:space="0" w:color="auto"/>
              <w:left w:val="nil"/>
              <w:bottom w:val="single" w:sz="4" w:space="0" w:color="auto"/>
              <w:right w:val="nil"/>
            </w:tcBorders>
          </w:tcPr>
          <w:p w:rsidR="001E7D94" w:rsidRPr="00E04727" w:rsidRDefault="008C4D6D" w:rsidP="008C4D6D">
            <w:pPr>
              <w:jc w:val="center"/>
              <w:rPr>
                <w:rFonts w:ascii="Arial" w:hAnsi="Arial" w:cs="Arial"/>
                <w:sz w:val="20"/>
                <w:szCs w:val="20"/>
              </w:rPr>
            </w:pPr>
            <w:r>
              <w:rPr>
                <w:rFonts w:ascii="Arial" w:hAnsi="Arial" w:cs="Arial"/>
                <w:sz w:val="20"/>
                <w:szCs w:val="20"/>
              </w:rPr>
              <w:t>Outstand</w:t>
            </w:r>
            <w:r w:rsidR="001E7D94" w:rsidRPr="00E04727">
              <w:rPr>
                <w:rFonts w:ascii="Arial" w:hAnsi="Arial" w:cs="Arial"/>
                <w:sz w:val="20"/>
                <w:szCs w:val="20"/>
              </w:rPr>
              <w:t xml:space="preserve"> as at 1</w:t>
            </w:r>
            <w:r w:rsidR="001E7D94" w:rsidRPr="00E04727">
              <w:rPr>
                <w:rFonts w:ascii="Arial" w:hAnsi="Arial" w:cs="Arial"/>
                <w:sz w:val="20"/>
                <w:szCs w:val="20"/>
                <w:vertAlign w:val="superscript"/>
              </w:rPr>
              <w:t>st</w:t>
            </w:r>
            <w:r w:rsidR="001E7D94" w:rsidRPr="00E04727">
              <w:rPr>
                <w:rFonts w:ascii="Arial" w:hAnsi="Arial" w:cs="Arial"/>
                <w:sz w:val="20"/>
                <w:szCs w:val="20"/>
              </w:rPr>
              <w:t xml:space="preserve"> of April</w:t>
            </w:r>
          </w:p>
        </w:tc>
        <w:tc>
          <w:tcPr>
            <w:tcW w:w="1440" w:type="dxa"/>
            <w:tcBorders>
              <w:top w:val="single" w:sz="4" w:space="0" w:color="auto"/>
              <w:left w:val="nil"/>
              <w:bottom w:val="single" w:sz="4" w:space="0" w:color="auto"/>
              <w:right w:val="single" w:sz="4" w:space="0" w:color="auto"/>
            </w:tcBorders>
          </w:tcPr>
          <w:p w:rsidR="001E7D94" w:rsidRPr="00E04727" w:rsidRDefault="008C4D6D" w:rsidP="009659E1">
            <w:pPr>
              <w:ind w:right="-108"/>
              <w:jc w:val="center"/>
              <w:rPr>
                <w:rFonts w:ascii="Arial" w:hAnsi="Arial" w:cs="Arial"/>
                <w:sz w:val="20"/>
                <w:szCs w:val="20"/>
              </w:rPr>
            </w:pPr>
            <w:r>
              <w:rPr>
                <w:rFonts w:ascii="Arial" w:hAnsi="Arial" w:cs="Arial"/>
                <w:sz w:val="20"/>
                <w:szCs w:val="20"/>
              </w:rPr>
              <w:t xml:space="preserve">Outstand </w:t>
            </w:r>
            <w:r w:rsidR="001E7D94" w:rsidRPr="00E04727">
              <w:rPr>
                <w:rFonts w:ascii="Arial" w:hAnsi="Arial" w:cs="Arial"/>
                <w:sz w:val="20"/>
                <w:szCs w:val="20"/>
              </w:rPr>
              <w:t xml:space="preserve">as at Qtr </w:t>
            </w:r>
            <w:r w:rsidR="00EF135F">
              <w:rPr>
                <w:rFonts w:ascii="Arial" w:hAnsi="Arial" w:cs="Arial"/>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E7D94" w:rsidRPr="00E04727" w:rsidRDefault="001E7D94" w:rsidP="001E7D94">
            <w:pPr>
              <w:jc w:val="center"/>
              <w:rPr>
                <w:rFonts w:ascii="Arial" w:hAnsi="Arial" w:cs="Arial"/>
                <w:sz w:val="20"/>
                <w:szCs w:val="20"/>
              </w:rPr>
            </w:pPr>
            <w:r w:rsidRPr="00E04727">
              <w:rPr>
                <w:rFonts w:ascii="Arial" w:hAnsi="Arial" w:cs="Arial"/>
                <w:sz w:val="20"/>
                <w:szCs w:val="20"/>
              </w:rPr>
              <w:t xml:space="preserve">BDP </w:t>
            </w:r>
          </w:p>
        </w:tc>
        <w:tc>
          <w:tcPr>
            <w:tcW w:w="1758" w:type="dxa"/>
            <w:tcBorders>
              <w:top w:val="single" w:sz="4" w:space="0" w:color="auto"/>
              <w:left w:val="single" w:sz="4" w:space="0" w:color="auto"/>
              <w:bottom w:val="single" w:sz="4" w:space="0" w:color="auto"/>
              <w:right w:val="single" w:sz="4" w:space="0" w:color="auto"/>
            </w:tcBorders>
          </w:tcPr>
          <w:p w:rsidR="001E7D94" w:rsidRPr="00E04727" w:rsidRDefault="001E7D94" w:rsidP="009659E1">
            <w:pPr>
              <w:jc w:val="center"/>
              <w:rPr>
                <w:rFonts w:ascii="Arial" w:hAnsi="Arial" w:cs="Arial"/>
                <w:sz w:val="20"/>
                <w:szCs w:val="20"/>
              </w:rPr>
            </w:pPr>
            <w:r w:rsidRPr="00E04727">
              <w:rPr>
                <w:rFonts w:ascii="Arial" w:hAnsi="Arial" w:cs="Arial"/>
                <w:b/>
                <w:sz w:val="20"/>
                <w:szCs w:val="20"/>
              </w:rPr>
              <w:t xml:space="preserve">BDP as at Qtr </w:t>
            </w:r>
            <w:r w:rsidR="00EF135F">
              <w:rPr>
                <w:rFonts w:ascii="Arial" w:hAnsi="Arial" w:cs="Arial"/>
                <w:b/>
                <w:sz w:val="20"/>
                <w:szCs w:val="20"/>
              </w:rPr>
              <w:t>2</w:t>
            </w:r>
          </w:p>
        </w:tc>
      </w:tr>
      <w:tr w:rsidR="001E7D94" w:rsidTr="00A6724C">
        <w:trPr>
          <w:trHeight w:val="170"/>
        </w:trPr>
        <w:tc>
          <w:tcPr>
            <w:tcW w:w="3425" w:type="dxa"/>
            <w:tcBorders>
              <w:top w:val="nil"/>
              <w:left w:val="single" w:sz="4" w:space="0" w:color="auto"/>
              <w:bottom w:val="single" w:sz="4" w:space="0" w:color="auto"/>
              <w:right w:val="single" w:sz="4" w:space="0" w:color="auto"/>
            </w:tcBorders>
            <w:noWrap/>
            <w:vAlign w:val="bottom"/>
          </w:tcPr>
          <w:p w:rsidR="001E7D94" w:rsidRDefault="001E7D94" w:rsidP="001E7D94">
            <w:pPr>
              <w:rPr>
                <w:rFonts w:ascii="Arial" w:hAnsi="Arial" w:cs="Arial"/>
              </w:rPr>
            </w:pPr>
          </w:p>
        </w:tc>
        <w:tc>
          <w:tcPr>
            <w:tcW w:w="1620" w:type="dxa"/>
            <w:tcBorders>
              <w:top w:val="nil"/>
              <w:left w:val="nil"/>
              <w:bottom w:val="single" w:sz="4" w:space="0" w:color="auto"/>
              <w:right w:val="nil"/>
            </w:tcBorders>
            <w:vAlign w:val="bottom"/>
          </w:tcPr>
          <w:p w:rsidR="001E7D94" w:rsidRDefault="001E7D94" w:rsidP="001E7D94">
            <w:pPr>
              <w:jc w:val="center"/>
              <w:rPr>
                <w:rFonts w:ascii="Arial" w:hAnsi="Arial" w:cs="Arial"/>
              </w:rPr>
            </w:pPr>
            <w:r>
              <w:rPr>
                <w:rFonts w:ascii="Arial" w:hAnsi="Arial" w:cs="Arial"/>
              </w:rPr>
              <w:t>£000</w:t>
            </w:r>
          </w:p>
        </w:tc>
        <w:tc>
          <w:tcPr>
            <w:tcW w:w="1440" w:type="dxa"/>
            <w:tcBorders>
              <w:top w:val="single" w:sz="4" w:space="0" w:color="auto"/>
              <w:left w:val="nil"/>
              <w:bottom w:val="single" w:sz="4" w:space="0" w:color="auto"/>
              <w:right w:val="single" w:sz="4" w:space="0" w:color="auto"/>
            </w:tcBorders>
            <w:vAlign w:val="bottom"/>
          </w:tcPr>
          <w:p w:rsidR="001E7D94" w:rsidRDefault="001E7D94" w:rsidP="001E7D94">
            <w:pPr>
              <w:jc w:val="center"/>
              <w:rPr>
                <w:rFonts w:ascii="Arial" w:hAnsi="Arial" w:cs="Arial"/>
              </w:rPr>
            </w:pPr>
            <w:r>
              <w:rPr>
                <w:rFonts w:ascii="Arial" w:hAnsi="Arial" w:cs="Arial"/>
              </w:rPr>
              <w:t>£000</w:t>
            </w:r>
          </w:p>
        </w:tc>
        <w:tc>
          <w:tcPr>
            <w:tcW w:w="1260" w:type="dxa"/>
            <w:tcBorders>
              <w:top w:val="nil"/>
              <w:left w:val="single" w:sz="4" w:space="0" w:color="auto"/>
              <w:bottom w:val="single" w:sz="4" w:space="0" w:color="auto"/>
              <w:right w:val="single" w:sz="4" w:space="0" w:color="auto"/>
            </w:tcBorders>
            <w:vAlign w:val="bottom"/>
          </w:tcPr>
          <w:p w:rsidR="001E7D94" w:rsidRDefault="001E7D94" w:rsidP="001E7D94">
            <w:pPr>
              <w:jc w:val="center"/>
              <w:rPr>
                <w:rFonts w:ascii="Arial" w:hAnsi="Arial" w:cs="Arial"/>
              </w:rPr>
            </w:pPr>
            <w:r>
              <w:rPr>
                <w:rFonts w:ascii="Arial" w:hAnsi="Arial" w:cs="Arial"/>
              </w:rPr>
              <w:t>%</w:t>
            </w:r>
          </w:p>
        </w:tc>
        <w:tc>
          <w:tcPr>
            <w:tcW w:w="1758" w:type="dxa"/>
            <w:tcBorders>
              <w:top w:val="single" w:sz="4" w:space="0" w:color="auto"/>
              <w:left w:val="nil"/>
              <w:bottom w:val="single" w:sz="4" w:space="0" w:color="auto"/>
              <w:right w:val="single" w:sz="4" w:space="0" w:color="auto"/>
            </w:tcBorders>
            <w:vAlign w:val="bottom"/>
          </w:tcPr>
          <w:p w:rsidR="001E7D94" w:rsidRDefault="001E7D94" w:rsidP="001E7D94">
            <w:pPr>
              <w:jc w:val="center"/>
              <w:rPr>
                <w:rFonts w:ascii="Arial" w:hAnsi="Arial" w:cs="Arial"/>
              </w:rPr>
            </w:pPr>
            <w:r>
              <w:rPr>
                <w:rFonts w:ascii="Arial" w:hAnsi="Arial" w:cs="Arial"/>
              </w:rPr>
              <w:t>£000</w:t>
            </w:r>
          </w:p>
        </w:tc>
      </w:tr>
      <w:tr w:rsidR="00E7095C" w:rsidTr="00A6724C">
        <w:trPr>
          <w:trHeight w:val="170"/>
        </w:trPr>
        <w:tc>
          <w:tcPr>
            <w:tcW w:w="3425" w:type="dxa"/>
            <w:tcBorders>
              <w:top w:val="nil"/>
              <w:left w:val="single" w:sz="4" w:space="0" w:color="auto"/>
              <w:bottom w:val="single" w:sz="4" w:space="0" w:color="auto"/>
              <w:right w:val="single" w:sz="4" w:space="0" w:color="auto"/>
            </w:tcBorders>
            <w:noWrap/>
            <w:vAlign w:val="bottom"/>
          </w:tcPr>
          <w:p w:rsidR="00E7095C" w:rsidRDefault="00E7095C" w:rsidP="00DD4417">
            <w:pPr>
              <w:rPr>
                <w:rFonts w:ascii="Arial" w:hAnsi="Arial" w:cs="Arial"/>
              </w:rPr>
            </w:pPr>
            <w:r>
              <w:rPr>
                <w:rFonts w:ascii="Arial" w:hAnsi="Arial" w:cs="Arial"/>
              </w:rPr>
              <w:t>Pre 2013-2014</w:t>
            </w:r>
          </w:p>
        </w:tc>
        <w:tc>
          <w:tcPr>
            <w:tcW w:w="1620" w:type="dxa"/>
            <w:tcBorders>
              <w:top w:val="nil"/>
              <w:left w:val="nil"/>
              <w:bottom w:val="single" w:sz="4" w:space="0" w:color="auto"/>
              <w:right w:val="nil"/>
            </w:tcBorders>
            <w:shd w:val="clear" w:color="auto" w:fill="C0C0C0"/>
          </w:tcPr>
          <w:p w:rsidR="00E7095C" w:rsidRDefault="00E7095C" w:rsidP="00DD4417">
            <w:pPr>
              <w:jc w:val="right"/>
              <w:rPr>
                <w:rFonts w:ascii="Arial" w:hAnsi="Arial" w:cs="Arial"/>
              </w:rPr>
            </w:pPr>
            <w:r>
              <w:rPr>
                <w:rFonts w:ascii="Arial" w:hAnsi="Arial" w:cs="Arial"/>
              </w:rPr>
              <w:t>1,112</w:t>
            </w:r>
          </w:p>
        </w:tc>
        <w:tc>
          <w:tcPr>
            <w:tcW w:w="1440" w:type="dxa"/>
            <w:tcBorders>
              <w:top w:val="single" w:sz="4" w:space="0" w:color="auto"/>
              <w:left w:val="nil"/>
              <w:bottom w:val="single" w:sz="4" w:space="0" w:color="auto"/>
              <w:right w:val="single" w:sz="4" w:space="0" w:color="auto"/>
            </w:tcBorders>
          </w:tcPr>
          <w:p w:rsidR="00E7095C" w:rsidRDefault="00181813" w:rsidP="00181813">
            <w:pPr>
              <w:jc w:val="right"/>
              <w:rPr>
                <w:rFonts w:ascii="Arial" w:hAnsi="Arial" w:cs="Arial"/>
              </w:rPr>
            </w:pPr>
            <w:r>
              <w:rPr>
                <w:rFonts w:ascii="Arial" w:hAnsi="Arial" w:cs="Arial"/>
              </w:rPr>
              <w:t>341</w:t>
            </w:r>
          </w:p>
        </w:tc>
        <w:tc>
          <w:tcPr>
            <w:tcW w:w="1260" w:type="dxa"/>
            <w:tcBorders>
              <w:top w:val="nil"/>
              <w:left w:val="single" w:sz="4" w:space="0" w:color="auto"/>
              <w:bottom w:val="single" w:sz="4" w:space="0" w:color="auto"/>
              <w:right w:val="single" w:sz="4" w:space="0" w:color="auto"/>
            </w:tcBorders>
          </w:tcPr>
          <w:p w:rsidR="00E7095C" w:rsidRDefault="00E7095C" w:rsidP="001E7D94">
            <w:pPr>
              <w:jc w:val="right"/>
              <w:rPr>
                <w:rFonts w:ascii="Arial" w:hAnsi="Arial" w:cs="Arial"/>
              </w:rPr>
            </w:pPr>
            <w:r>
              <w:rPr>
                <w:rFonts w:ascii="Arial" w:hAnsi="Arial" w:cs="Arial"/>
              </w:rPr>
              <w:t>100</w:t>
            </w:r>
          </w:p>
        </w:tc>
        <w:tc>
          <w:tcPr>
            <w:tcW w:w="1758" w:type="dxa"/>
            <w:tcBorders>
              <w:top w:val="single" w:sz="4" w:space="0" w:color="auto"/>
              <w:left w:val="nil"/>
              <w:bottom w:val="single" w:sz="4" w:space="0" w:color="auto"/>
              <w:right w:val="single" w:sz="4" w:space="0" w:color="auto"/>
            </w:tcBorders>
          </w:tcPr>
          <w:p w:rsidR="00E7095C" w:rsidRDefault="00181813" w:rsidP="00F61B46">
            <w:pPr>
              <w:jc w:val="right"/>
              <w:rPr>
                <w:rFonts w:ascii="Arial" w:hAnsi="Arial" w:cs="Arial"/>
              </w:rPr>
            </w:pPr>
            <w:r>
              <w:rPr>
                <w:rFonts w:ascii="Arial" w:hAnsi="Arial" w:cs="Arial"/>
              </w:rPr>
              <w:t>34</w:t>
            </w:r>
            <w:r w:rsidR="00F61B46">
              <w:rPr>
                <w:rFonts w:ascii="Arial" w:hAnsi="Arial" w:cs="Arial"/>
              </w:rPr>
              <w:t>1</w:t>
            </w:r>
          </w:p>
        </w:tc>
      </w:tr>
      <w:tr w:rsidR="00E7095C" w:rsidTr="00A6724C">
        <w:trPr>
          <w:trHeight w:val="255"/>
        </w:trPr>
        <w:tc>
          <w:tcPr>
            <w:tcW w:w="3425" w:type="dxa"/>
            <w:tcBorders>
              <w:top w:val="nil"/>
              <w:left w:val="single" w:sz="4" w:space="0" w:color="auto"/>
              <w:bottom w:val="single" w:sz="4" w:space="0" w:color="auto"/>
              <w:right w:val="single" w:sz="4" w:space="0" w:color="auto"/>
            </w:tcBorders>
            <w:noWrap/>
            <w:vAlign w:val="bottom"/>
          </w:tcPr>
          <w:p w:rsidR="00E7095C" w:rsidRDefault="00E7095C" w:rsidP="00E7095C">
            <w:pPr>
              <w:rPr>
                <w:rFonts w:ascii="Arial" w:hAnsi="Arial" w:cs="Arial"/>
              </w:rPr>
            </w:pPr>
            <w:r>
              <w:rPr>
                <w:rFonts w:ascii="Arial" w:hAnsi="Arial" w:cs="Arial"/>
              </w:rPr>
              <w:t>2013-2014</w:t>
            </w:r>
          </w:p>
        </w:tc>
        <w:tc>
          <w:tcPr>
            <w:tcW w:w="1620" w:type="dxa"/>
            <w:tcBorders>
              <w:top w:val="nil"/>
              <w:left w:val="nil"/>
              <w:bottom w:val="single" w:sz="4" w:space="0" w:color="auto"/>
              <w:right w:val="nil"/>
            </w:tcBorders>
            <w:shd w:val="clear" w:color="auto" w:fill="C0C0C0"/>
          </w:tcPr>
          <w:p w:rsidR="00E7095C" w:rsidRDefault="00E7095C" w:rsidP="00E7095C">
            <w:pPr>
              <w:jc w:val="right"/>
              <w:rPr>
                <w:rFonts w:ascii="Arial" w:hAnsi="Arial" w:cs="Arial"/>
              </w:rPr>
            </w:pPr>
            <w:r>
              <w:rPr>
                <w:rFonts w:ascii="Arial" w:hAnsi="Arial" w:cs="Arial"/>
              </w:rPr>
              <w:t>807</w:t>
            </w:r>
          </w:p>
        </w:tc>
        <w:tc>
          <w:tcPr>
            <w:tcW w:w="1440" w:type="dxa"/>
            <w:tcBorders>
              <w:top w:val="single" w:sz="4" w:space="0" w:color="auto"/>
              <w:left w:val="nil"/>
              <w:bottom w:val="single" w:sz="4" w:space="0" w:color="auto"/>
              <w:right w:val="single" w:sz="4" w:space="0" w:color="auto"/>
            </w:tcBorders>
          </w:tcPr>
          <w:p w:rsidR="00E7095C" w:rsidRDefault="00181813" w:rsidP="00181813">
            <w:pPr>
              <w:jc w:val="right"/>
              <w:rPr>
                <w:rFonts w:ascii="Arial" w:hAnsi="Arial" w:cs="Arial"/>
              </w:rPr>
            </w:pPr>
            <w:r>
              <w:rPr>
                <w:rFonts w:ascii="Arial" w:hAnsi="Arial" w:cs="Arial"/>
              </w:rPr>
              <w:t>377</w:t>
            </w:r>
          </w:p>
        </w:tc>
        <w:tc>
          <w:tcPr>
            <w:tcW w:w="1260" w:type="dxa"/>
            <w:tcBorders>
              <w:top w:val="nil"/>
              <w:left w:val="single" w:sz="4" w:space="0" w:color="auto"/>
              <w:bottom w:val="single" w:sz="4" w:space="0" w:color="auto"/>
              <w:right w:val="single" w:sz="4" w:space="0" w:color="auto"/>
            </w:tcBorders>
          </w:tcPr>
          <w:p w:rsidR="00E7095C" w:rsidRDefault="00E7095C" w:rsidP="00E7095C">
            <w:pPr>
              <w:jc w:val="right"/>
              <w:rPr>
                <w:rFonts w:ascii="Arial" w:hAnsi="Arial" w:cs="Arial"/>
              </w:rPr>
            </w:pPr>
            <w:r>
              <w:rPr>
                <w:rFonts w:ascii="Arial" w:hAnsi="Arial" w:cs="Arial"/>
              </w:rPr>
              <w:t>75</w:t>
            </w:r>
          </w:p>
        </w:tc>
        <w:tc>
          <w:tcPr>
            <w:tcW w:w="1758" w:type="dxa"/>
            <w:tcBorders>
              <w:top w:val="single" w:sz="4" w:space="0" w:color="auto"/>
              <w:left w:val="nil"/>
              <w:bottom w:val="single" w:sz="4" w:space="0" w:color="auto"/>
              <w:right w:val="single" w:sz="4" w:space="0" w:color="auto"/>
            </w:tcBorders>
          </w:tcPr>
          <w:p w:rsidR="00E7095C" w:rsidRDefault="00181813" w:rsidP="00E7095C">
            <w:pPr>
              <w:jc w:val="right"/>
              <w:rPr>
                <w:rFonts w:ascii="Arial" w:hAnsi="Arial" w:cs="Arial"/>
              </w:rPr>
            </w:pPr>
            <w:r>
              <w:rPr>
                <w:rFonts w:ascii="Arial" w:hAnsi="Arial" w:cs="Arial"/>
              </w:rPr>
              <w:t>28</w:t>
            </w:r>
            <w:r w:rsidR="00F61B46">
              <w:rPr>
                <w:rFonts w:ascii="Arial" w:hAnsi="Arial" w:cs="Arial"/>
              </w:rPr>
              <w:t>3</w:t>
            </w:r>
          </w:p>
        </w:tc>
      </w:tr>
      <w:tr w:rsidR="00E7095C" w:rsidTr="00A6724C">
        <w:trPr>
          <w:trHeight w:val="255"/>
        </w:trPr>
        <w:tc>
          <w:tcPr>
            <w:tcW w:w="3425" w:type="dxa"/>
            <w:tcBorders>
              <w:top w:val="nil"/>
              <w:left w:val="single" w:sz="4" w:space="0" w:color="auto"/>
              <w:bottom w:val="single" w:sz="4" w:space="0" w:color="auto"/>
              <w:right w:val="single" w:sz="4" w:space="0" w:color="auto"/>
            </w:tcBorders>
            <w:noWrap/>
            <w:vAlign w:val="bottom"/>
          </w:tcPr>
          <w:p w:rsidR="00E7095C" w:rsidRDefault="00E7095C" w:rsidP="00DD4417">
            <w:pPr>
              <w:rPr>
                <w:rFonts w:ascii="Arial" w:hAnsi="Arial" w:cs="Arial"/>
              </w:rPr>
            </w:pPr>
            <w:r>
              <w:rPr>
                <w:rFonts w:ascii="Arial" w:hAnsi="Arial" w:cs="Arial"/>
              </w:rPr>
              <w:t>2014-2015</w:t>
            </w:r>
          </w:p>
        </w:tc>
        <w:tc>
          <w:tcPr>
            <w:tcW w:w="1620" w:type="dxa"/>
            <w:tcBorders>
              <w:top w:val="nil"/>
              <w:left w:val="nil"/>
              <w:bottom w:val="single" w:sz="4" w:space="0" w:color="auto"/>
              <w:right w:val="nil"/>
            </w:tcBorders>
            <w:shd w:val="clear" w:color="auto" w:fill="C0C0C0"/>
          </w:tcPr>
          <w:p w:rsidR="00E7095C" w:rsidRDefault="00E7095C" w:rsidP="00DD4417">
            <w:pPr>
              <w:jc w:val="right"/>
              <w:rPr>
                <w:rFonts w:ascii="Arial" w:hAnsi="Arial" w:cs="Arial"/>
              </w:rPr>
            </w:pPr>
            <w:r>
              <w:rPr>
                <w:rFonts w:ascii="Arial" w:hAnsi="Arial" w:cs="Arial"/>
              </w:rPr>
              <w:t>2,690</w:t>
            </w:r>
          </w:p>
        </w:tc>
        <w:tc>
          <w:tcPr>
            <w:tcW w:w="1440" w:type="dxa"/>
            <w:tcBorders>
              <w:top w:val="single" w:sz="4" w:space="0" w:color="auto"/>
              <w:left w:val="nil"/>
              <w:bottom w:val="single" w:sz="4" w:space="0" w:color="auto"/>
              <w:right w:val="single" w:sz="4" w:space="0" w:color="auto"/>
            </w:tcBorders>
          </w:tcPr>
          <w:p w:rsidR="00E7095C" w:rsidRDefault="00E7095C" w:rsidP="00181813">
            <w:pPr>
              <w:jc w:val="right"/>
              <w:rPr>
                <w:rFonts w:ascii="Arial" w:hAnsi="Arial" w:cs="Arial"/>
              </w:rPr>
            </w:pPr>
            <w:r>
              <w:rPr>
                <w:rFonts w:ascii="Arial" w:hAnsi="Arial" w:cs="Arial"/>
              </w:rPr>
              <w:t>1,</w:t>
            </w:r>
            <w:r w:rsidR="00181813">
              <w:rPr>
                <w:rFonts w:ascii="Arial" w:hAnsi="Arial" w:cs="Arial"/>
              </w:rPr>
              <w:t>528</w:t>
            </w:r>
          </w:p>
        </w:tc>
        <w:tc>
          <w:tcPr>
            <w:tcW w:w="1260" w:type="dxa"/>
            <w:tcBorders>
              <w:top w:val="nil"/>
              <w:left w:val="single" w:sz="4" w:space="0" w:color="auto"/>
              <w:bottom w:val="single" w:sz="4" w:space="0" w:color="auto"/>
              <w:right w:val="single" w:sz="4" w:space="0" w:color="auto"/>
            </w:tcBorders>
          </w:tcPr>
          <w:p w:rsidR="00E7095C" w:rsidRDefault="00E7095C" w:rsidP="00E7095C">
            <w:pPr>
              <w:jc w:val="right"/>
              <w:rPr>
                <w:rFonts w:ascii="Arial" w:hAnsi="Arial" w:cs="Arial"/>
              </w:rPr>
            </w:pPr>
            <w:r>
              <w:rPr>
                <w:rFonts w:ascii="Arial" w:hAnsi="Arial" w:cs="Arial"/>
              </w:rPr>
              <w:t>50</w:t>
            </w:r>
          </w:p>
        </w:tc>
        <w:tc>
          <w:tcPr>
            <w:tcW w:w="1758" w:type="dxa"/>
            <w:tcBorders>
              <w:top w:val="single" w:sz="4" w:space="0" w:color="auto"/>
              <w:left w:val="nil"/>
              <w:bottom w:val="single" w:sz="4" w:space="0" w:color="auto"/>
              <w:right w:val="single" w:sz="4" w:space="0" w:color="auto"/>
            </w:tcBorders>
          </w:tcPr>
          <w:p w:rsidR="00E7095C" w:rsidRDefault="00181813" w:rsidP="00181813">
            <w:pPr>
              <w:jc w:val="right"/>
              <w:rPr>
                <w:rFonts w:ascii="Arial" w:hAnsi="Arial" w:cs="Arial"/>
              </w:rPr>
            </w:pPr>
            <w:r>
              <w:rPr>
                <w:rFonts w:ascii="Arial" w:hAnsi="Arial" w:cs="Arial"/>
              </w:rPr>
              <w:t>764</w:t>
            </w:r>
          </w:p>
        </w:tc>
      </w:tr>
      <w:tr w:rsidR="00E7095C" w:rsidTr="00A6724C">
        <w:trPr>
          <w:trHeight w:val="255"/>
        </w:trPr>
        <w:tc>
          <w:tcPr>
            <w:tcW w:w="3425" w:type="dxa"/>
            <w:tcBorders>
              <w:top w:val="nil"/>
              <w:left w:val="single" w:sz="4" w:space="0" w:color="auto"/>
              <w:bottom w:val="single" w:sz="4" w:space="0" w:color="auto"/>
              <w:right w:val="single" w:sz="4" w:space="0" w:color="auto"/>
            </w:tcBorders>
            <w:noWrap/>
            <w:vAlign w:val="bottom"/>
          </w:tcPr>
          <w:p w:rsidR="00E7095C" w:rsidRDefault="00E7095C" w:rsidP="00DD4417">
            <w:pPr>
              <w:rPr>
                <w:rFonts w:ascii="Arial" w:hAnsi="Arial" w:cs="Arial"/>
              </w:rPr>
            </w:pPr>
            <w:r>
              <w:rPr>
                <w:rFonts w:ascii="Arial" w:hAnsi="Arial" w:cs="Arial"/>
              </w:rPr>
              <w:t>2015-2016</w:t>
            </w:r>
          </w:p>
        </w:tc>
        <w:tc>
          <w:tcPr>
            <w:tcW w:w="1620" w:type="dxa"/>
            <w:tcBorders>
              <w:top w:val="nil"/>
              <w:left w:val="nil"/>
              <w:bottom w:val="single" w:sz="4" w:space="0" w:color="auto"/>
              <w:right w:val="nil"/>
            </w:tcBorders>
            <w:shd w:val="clear" w:color="auto" w:fill="C0C0C0"/>
          </w:tcPr>
          <w:p w:rsidR="00E7095C" w:rsidRDefault="00E7095C" w:rsidP="00E7095C">
            <w:pPr>
              <w:jc w:val="right"/>
              <w:rPr>
                <w:rFonts w:ascii="Arial" w:hAnsi="Arial" w:cs="Arial"/>
              </w:rPr>
            </w:pPr>
            <w:r>
              <w:rPr>
                <w:rFonts w:ascii="Arial" w:hAnsi="Arial" w:cs="Arial"/>
              </w:rPr>
              <w:t>0</w:t>
            </w:r>
          </w:p>
        </w:tc>
        <w:tc>
          <w:tcPr>
            <w:tcW w:w="1440" w:type="dxa"/>
            <w:tcBorders>
              <w:top w:val="single" w:sz="4" w:space="0" w:color="auto"/>
              <w:left w:val="nil"/>
              <w:bottom w:val="single" w:sz="4" w:space="0" w:color="auto"/>
              <w:right w:val="single" w:sz="4" w:space="0" w:color="auto"/>
            </w:tcBorders>
          </w:tcPr>
          <w:p w:rsidR="00E7095C" w:rsidRDefault="00181813" w:rsidP="00181813">
            <w:pPr>
              <w:jc w:val="right"/>
              <w:rPr>
                <w:rFonts w:ascii="Arial" w:hAnsi="Arial" w:cs="Arial"/>
              </w:rPr>
            </w:pPr>
            <w:r>
              <w:rPr>
                <w:rFonts w:ascii="Arial" w:hAnsi="Arial" w:cs="Arial"/>
              </w:rPr>
              <w:t>2,320</w:t>
            </w:r>
          </w:p>
        </w:tc>
        <w:tc>
          <w:tcPr>
            <w:tcW w:w="1260" w:type="dxa"/>
            <w:tcBorders>
              <w:top w:val="nil"/>
              <w:left w:val="single" w:sz="4" w:space="0" w:color="auto"/>
              <w:bottom w:val="single" w:sz="4" w:space="0" w:color="auto"/>
              <w:right w:val="single" w:sz="4" w:space="0" w:color="auto"/>
            </w:tcBorders>
          </w:tcPr>
          <w:p w:rsidR="00E7095C" w:rsidRDefault="00E7095C" w:rsidP="00E7095C">
            <w:pPr>
              <w:jc w:val="right"/>
              <w:rPr>
                <w:rFonts w:ascii="Arial" w:hAnsi="Arial" w:cs="Arial"/>
              </w:rPr>
            </w:pPr>
            <w:r>
              <w:rPr>
                <w:rFonts w:ascii="Arial" w:hAnsi="Arial" w:cs="Arial"/>
              </w:rPr>
              <w:t>30</w:t>
            </w:r>
          </w:p>
        </w:tc>
        <w:tc>
          <w:tcPr>
            <w:tcW w:w="1758" w:type="dxa"/>
            <w:tcBorders>
              <w:top w:val="single" w:sz="4" w:space="0" w:color="auto"/>
              <w:left w:val="nil"/>
              <w:bottom w:val="single" w:sz="4" w:space="0" w:color="auto"/>
              <w:right w:val="single" w:sz="4" w:space="0" w:color="auto"/>
            </w:tcBorders>
          </w:tcPr>
          <w:p w:rsidR="00E7095C" w:rsidRDefault="00181813" w:rsidP="00A745C0">
            <w:pPr>
              <w:jc w:val="right"/>
              <w:rPr>
                <w:rFonts w:ascii="Arial" w:hAnsi="Arial" w:cs="Arial"/>
              </w:rPr>
            </w:pPr>
            <w:r>
              <w:rPr>
                <w:rFonts w:ascii="Arial" w:hAnsi="Arial" w:cs="Arial"/>
              </w:rPr>
              <w:t>696</w:t>
            </w:r>
          </w:p>
        </w:tc>
      </w:tr>
      <w:tr w:rsidR="00F61B46" w:rsidTr="00A6724C">
        <w:trPr>
          <w:trHeight w:val="255"/>
        </w:trPr>
        <w:tc>
          <w:tcPr>
            <w:tcW w:w="3425" w:type="dxa"/>
            <w:tcBorders>
              <w:top w:val="nil"/>
              <w:left w:val="single" w:sz="4" w:space="0" w:color="auto"/>
              <w:bottom w:val="single" w:sz="4" w:space="0" w:color="auto"/>
              <w:right w:val="single" w:sz="4" w:space="0" w:color="auto"/>
            </w:tcBorders>
            <w:noWrap/>
            <w:vAlign w:val="bottom"/>
          </w:tcPr>
          <w:p w:rsidR="00F61B46" w:rsidRDefault="00F61B46" w:rsidP="00DD4417">
            <w:pPr>
              <w:rPr>
                <w:rFonts w:ascii="Arial" w:hAnsi="Arial" w:cs="Arial"/>
              </w:rPr>
            </w:pPr>
            <w:r>
              <w:rPr>
                <w:rFonts w:ascii="Arial" w:hAnsi="Arial" w:cs="Arial"/>
              </w:rPr>
              <w:t xml:space="preserve">Additional Risk due to Loss of subsidy** </w:t>
            </w:r>
            <w:r w:rsidRPr="00F61B46">
              <w:rPr>
                <w:rFonts w:ascii="Arial" w:hAnsi="Arial" w:cs="Arial"/>
                <w:i/>
                <w:sz w:val="16"/>
                <w:szCs w:val="16"/>
              </w:rPr>
              <w:t>see note below</w:t>
            </w:r>
          </w:p>
        </w:tc>
        <w:tc>
          <w:tcPr>
            <w:tcW w:w="1620" w:type="dxa"/>
            <w:tcBorders>
              <w:top w:val="nil"/>
              <w:left w:val="nil"/>
              <w:bottom w:val="single" w:sz="4" w:space="0" w:color="auto"/>
              <w:right w:val="nil"/>
            </w:tcBorders>
            <w:shd w:val="clear" w:color="auto" w:fill="C0C0C0"/>
          </w:tcPr>
          <w:p w:rsidR="00F61B46" w:rsidRDefault="00F61B46" w:rsidP="00E7095C">
            <w:pPr>
              <w:jc w:val="right"/>
              <w:rPr>
                <w:rFonts w:ascii="Arial" w:hAnsi="Arial" w:cs="Arial"/>
              </w:rPr>
            </w:pPr>
          </w:p>
        </w:tc>
        <w:tc>
          <w:tcPr>
            <w:tcW w:w="1440" w:type="dxa"/>
            <w:tcBorders>
              <w:top w:val="single" w:sz="4" w:space="0" w:color="auto"/>
              <w:left w:val="nil"/>
              <w:bottom w:val="single" w:sz="4" w:space="0" w:color="auto"/>
              <w:right w:val="single" w:sz="4" w:space="0" w:color="auto"/>
            </w:tcBorders>
          </w:tcPr>
          <w:p w:rsidR="00F61B46" w:rsidRDefault="00F61B46" w:rsidP="00181813">
            <w:pPr>
              <w:jc w:val="right"/>
              <w:rPr>
                <w:rFonts w:ascii="Arial" w:hAnsi="Arial" w:cs="Arial"/>
              </w:rPr>
            </w:pPr>
          </w:p>
        </w:tc>
        <w:tc>
          <w:tcPr>
            <w:tcW w:w="1260" w:type="dxa"/>
            <w:tcBorders>
              <w:top w:val="nil"/>
              <w:left w:val="single" w:sz="4" w:space="0" w:color="auto"/>
              <w:bottom w:val="single" w:sz="4" w:space="0" w:color="auto"/>
              <w:right w:val="single" w:sz="4" w:space="0" w:color="auto"/>
            </w:tcBorders>
          </w:tcPr>
          <w:p w:rsidR="00F61B46" w:rsidRDefault="00F61B46" w:rsidP="00E7095C">
            <w:pPr>
              <w:jc w:val="right"/>
              <w:rPr>
                <w:rFonts w:ascii="Arial" w:hAnsi="Arial" w:cs="Arial"/>
              </w:rPr>
            </w:pPr>
          </w:p>
        </w:tc>
        <w:tc>
          <w:tcPr>
            <w:tcW w:w="1758" w:type="dxa"/>
            <w:tcBorders>
              <w:top w:val="single" w:sz="4" w:space="0" w:color="auto"/>
              <w:left w:val="nil"/>
              <w:bottom w:val="single" w:sz="4" w:space="0" w:color="auto"/>
              <w:right w:val="single" w:sz="4" w:space="0" w:color="auto"/>
            </w:tcBorders>
          </w:tcPr>
          <w:p w:rsidR="00F61B46" w:rsidRDefault="00F61B46" w:rsidP="00F61B46">
            <w:pPr>
              <w:jc w:val="right"/>
              <w:rPr>
                <w:rFonts w:ascii="Arial" w:hAnsi="Arial" w:cs="Arial"/>
              </w:rPr>
            </w:pPr>
            <w:r>
              <w:rPr>
                <w:rFonts w:ascii="Arial" w:hAnsi="Arial" w:cs="Arial"/>
              </w:rPr>
              <w:t>750</w:t>
            </w:r>
          </w:p>
        </w:tc>
      </w:tr>
      <w:tr w:rsidR="00E7095C" w:rsidTr="00A6724C">
        <w:trPr>
          <w:trHeight w:val="255"/>
        </w:trPr>
        <w:tc>
          <w:tcPr>
            <w:tcW w:w="3425" w:type="dxa"/>
            <w:tcBorders>
              <w:top w:val="nil"/>
              <w:left w:val="single" w:sz="4" w:space="0" w:color="auto"/>
              <w:bottom w:val="single" w:sz="4" w:space="0" w:color="auto"/>
              <w:right w:val="single" w:sz="4" w:space="0" w:color="auto"/>
            </w:tcBorders>
            <w:noWrap/>
          </w:tcPr>
          <w:p w:rsidR="00E7095C" w:rsidRDefault="00E7095C" w:rsidP="00DD4417">
            <w:pPr>
              <w:rPr>
                <w:rFonts w:ascii="Arial" w:hAnsi="Arial" w:cs="Arial"/>
              </w:rPr>
            </w:pPr>
            <w:r>
              <w:rPr>
                <w:rFonts w:ascii="Arial" w:hAnsi="Arial" w:cs="Arial"/>
                <w:b/>
                <w:bCs/>
              </w:rPr>
              <w:t>Totals</w:t>
            </w:r>
          </w:p>
        </w:tc>
        <w:tc>
          <w:tcPr>
            <w:tcW w:w="1620" w:type="dxa"/>
            <w:tcBorders>
              <w:top w:val="nil"/>
              <w:left w:val="nil"/>
              <w:bottom w:val="single" w:sz="4" w:space="0" w:color="auto"/>
              <w:right w:val="nil"/>
            </w:tcBorders>
            <w:shd w:val="clear" w:color="auto" w:fill="C0C0C0"/>
          </w:tcPr>
          <w:p w:rsidR="00E7095C" w:rsidRDefault="00E7095C" w:rsidP="00E7095C">
            <w:pPr>
              <w:jc w:val="right"/>
              <w:rPr>
                <w:rFonts w:ascii="Arial" w:hAnsi="Arial" w:cs="Arial"/>
              </w:rPr>
            </w:pPr>
            <w:r>
              <w:rPr>
                <w:rFonts w:ascii="Arial" w:hAnsi="Arial" w:cs="Arial"/>
                <w:b/>
                <w:bCs/>
              </w:rPr>
              <w:t>4,609</w:t>
            </w:r>
          </w:p>
        </w:tc>
        <w:tc>
          <w:tcPr>
            <w:tcW w:w="1440" w:type="dxa"/>
            <w:tcBorders>
              <w:top w:val="single" w:sz="4" w:space="0" w:color="auto"/>
              <w:left w:val="nil"/>
              <w:bottom w:val="single" w:sz="4" w:space="0" w:color="auto"/>
              <w:right w:val="single" w:sz="4" w:space="0" w:color="auto"/>
            </w:tcBorders>
          </w:tcPr>
          <w:p w:rsidR="00E7095C" w:rsidRDefault="00181813" w:rsidP="00F61B46">
            <w:pPr>
              <w:jc w:val="right"/>
              <w:rPr>
                <w:rFonts w:ascii="Arial" w:hAnsi="Arial" w:cs="Arial"/>
              </w:rPr>
            </w:pPr>
            <w:r>
              <w:rPr>
                <w:rFonts w:ascii="Arial" w:hAnsi="Arial" w:cs="Arial"/>
                <w:b/>
                <w:bCs/>
              </w:rPr>
              <w:t>4</w:t>
            </w:r>
            <w:r w:rsidR="00E7095C">
              <w:rPr>
                <w:rFonts w:ascii="Arial" w:hAnsi="Arial" w:cs="Arial"/>
                <w:b/>
                <w:bCs/>
              </w:rPr>
              <w:t>,</w:t>
            </w:r>
            <w:r>
              <w:rPr>
                <w:rFonts w:ascii="Arial" w:hAnsi="Arial" w:cs="Arial"/>
                <w:b/>
                <w:bCs/>
              </w:rPr>
              <w:t>56</w:t>
            </w:r>
            <w:r w:rsidR="00F61B46">
              <w:rPr>
                <w:rFonts w:ascii="Arial" w:hAnsi="Arial" w:cs="Arial"/>
                <w:b/>
                <w:bCs/>
              </w:rPr>
              <w:t>6</w:t>
            </w:r>
          </w:p>
        </w:tc>
        <w:tc>
          <w:tcPr>
            <w:tcW w:w="1260" w:type="dxa"/>
            <w:tcBorders>
              <w:top w:val="nil"/>
              <w:left w:val="single" w:sz="4" w:space="0" w:color="auto"/>
              <w:bottom w:val="single" w:sz="4" w:space="0" w:color="auto"/>
              <w:right w:val="single" w:sz="4" w:space="0" w:color="auto"/>
            </w:tcBorders>
          </w:tcPr>
          <w:p w:rsidR="00E7095C" w:rsidRDefault="00E7095C" w:rsidP="00AA1171">
            <w:pPr>
              <w:jc w:val="right"/>
              <w:rPr>
                <w:rFonts w:ascii="Arial" w:hAnsi="Arial" w:cs="Arial"/>
              </w:rPr>
            </w:pPr>
          </w:p>
        </w:tc>
        <w:tc>
          <w:tcPr>
            <w:tcW w:w="1758" w:type="dxa"/>
            <w:tcBorders>
              <w:top w:val="single" w:sz="4" w:space="0" w:color="auto"/>
              <w:left w:val="nil"/>
              <w:bottom w:val="single" w:sz="4" w:space="0" w:color="auto"/>
              <w:right w:val="single" w:sz="4" w:space="0" w:color="auto"/>
            </w:tcBorders>
          </w:tcPr>
          <w:p w:rsidR="00E7095C" w:rsidRDefault="00E7095C" w:rsidP="00F61B46">
            <w:pPr>
              <w:jc w:val="right"/>
              <w:rPr>
                <w:rFonts w:ascii="Arial" w:hAnsi="Arial" w:cs="Arial"/>
              </w:rPr>
            </w:pPr>
            <w:r>
              <w:rPr>
                <w:rFonts w:ascii="Arial" w:hAnsi="Arial" w:cs="Arial"/>
                <w:b/>
                <w:bCs/>
              </w:rPr>
              <w:t>2,</w:t>
            </w:r>
            <w:r w:rsidR="00F61B46">
              <w:rPr>
                <w:rFonts w:ascii="Arial" w:hAnsi="Arial" w:cs="Arial"/>
                <w:b/>
                <w:bCs/>
              </w:rPr>
              <w:t>834</w:t>
            </w:r>
          </w:p>
        </w:tc>
      </w:tr>
      <w:tr w:rsidR="00E7095C" w:rsidTr="00A6724C">
        <w:trPr>
          <w:trHeight w:val="255"/>
        </w:trPr>
        <w:tc>
          <w:tcPr>
            <w:tcW w:w="3425" w:type="dxa"/>
            <w:tcBorders>
              <w:top w:val="nil"/>
              <w:left w:val="single" w:sz="4" w:space="0" w:color="auto"/>
              <w:bottom w:val="single" w:sz="4" w:space="0" w:color="auto"/>
              <w:right w:val="single" w:sz="4" w:space="0" w:color="auto"/>
            </w:tcBorders>
            <w:noWrap/>
          </w:tcPr>
          <w:p w:rsidR="00E7095C" w:rsidRDefault="00E7095C" w:rsidP="001E7D94">
            <w:pPr>
              <w:rPr>
                <w:rFonts w:ascii="Arial" w:hAnsi="Arial" w:cs="Arial"/>
              </w:rPr>
            </w:pPr>
          </w:p>
        </w:tc>
        <w:tc>
          <w:tcPr>
            <w:tcW w:w="1620" w:type="dxa"/>
            <w:tcBorders>
              <w:top w:val="nil"/>
              <w:left w:val="nil"/>
              <w:bottom w:val="single" w:sz="4" w:space="0" w:color="auto"/>
              <w:right w:val="nil"/>
            </w:tcBorders>
            <w:shd w:val="clear" w:color="auto" w:fill="C0C0C0"/>
          </w:tcPr>
          <w:p w:rsidR="00E7095C" w:rsidRDefault="00E7095C" w:rsidP="00E7095C">
            <w:pPr>
              <w:jc w:val="right"/>
              <w:rPr>
                <w:rFonts w:ascii="Arial" w:hAnsi="Arial" w:cs="Arial"/>
              </w:rPr>
            </w:pPr>
          </w:p>
        </w:tc>
        <w:tc>
          <w:tcPr>
            <w:tcW w:w="1440" w:type="dxa"/>
            <w:tcBorders>
              <w:top w:val="single" w:sz="4" w:space="0" w:color="auto"/>
              <w:left w:val="nil"/>
              <w:bottom w:val="single" w:sz="4" w:space="0" w:color="auto"/>
              <w:right w:val="single" w:sz="4" w:space="0" w:color="auto"/>
            </w:tcBorders>
          </w:tcPr>
          <w:p w:rsidR="00E7095C" w:rsidRDefault="00E7095C" w:rsidP="009659E1">
            <w:pPr>
              <w:jc w:val="right"/>
              <w:rPr>
                <w:rFonts w:ascii="Arial" w:hAnsi="Arial" w:cs="Arial"/>
              </w:rPr>
            </w:pPr>
          </w:p>
        </w:tc>
        <w:tc>
          <w:tcPr>
            <w:tcW w:w="1260" w:type="dxa"/>
            <w:tcBorders>
              <w:top w:val="nil"/>
              <w:left w:val="single" w:sz="4" w:space="0" w:color="auto"/>
              <w:bottom w:val="single" w:sz="4" w:space="0" w:color="auto"/>
              <w:right w:val="single" w:sz="4" w:space="0" w:color="auto"/>
            </w:tcBorders>
          </w:tcPr>
          <w:p w:rsidR="00E7095C" w:rsidRDefault="00E7095C" w:rsidP="00B60848">
            <w:pPr>
              <w:jc w:val="right"/>
              <w:rPr>
                <w:rFonts w:ascii="Arial" w:hAnsi="Arial" w:cs="Arial"/>
              </w:rPr>
            </w:pPr>
          </w:p>
        </w:tc>
        <w:tc>
          <w:tcPr>
            <w:tcW w:w="1758" w:type="dxa"/>
            <w:tcBorders>
              <w:top w:val="single" w:sz="4" w:space="0" w:color="auto"/>
              <w:left w:val="nil"/>
              <w:bottom w:val="single" w:sz="4" w:space="0" w:color="auto"/>
              <w:right w:val="single" w:sz="4" w:space="0" w:color="auto"/>
            </w:tcBorders>
          </w:tcPr>
          <w:p w:rsidR="00E7095C" w:rsidRDefault="00E7095C" w:rsidP="00E7095C">
            <w:pPr>
              <w:jc w:val="right"/>
              <w:rPr>
                <w:rFonts w:ascii="Arial" w:hAnsi="Arial" w:cs="Arial"/>
              </w:rPr>
            </w:pPr>
          </w:p>
        </w:tc>
      </w:tr>
      <w:tr w:rsidR="00E7095C" w:rsidTr="00A6724C">
        <w:trPr>
          <w:trHeight w:val="255"/>
        </w:trPr>
        <w:tc>
          <w:tcPr>
            <w:tcW w:w="3425" w:type="dxa"/>
            <w:tcBorders>
              <w:top w:val="nil"/>
              <w:left w:val="single" w:sz="4" w:space="0" w:color="auto"/>
              <w:bottom w:val="single" w:sz="4" w:space="0" w:color="auto"/>
              <w:right w:val="single" w:sz="4" w:space="0" w:color="auto"/>
            </w:tcBorders>
            <w:noWrap/>
          </w:tcPr>
          <w:p w:rsidR="00E7095C" w:rsidRDefault="00E7095C" w:rsidP="001E7D94">
            <w:pPr>
              <w:rPr>
                <w:rFonts w:ascii="Arial" w:hAnsi="Arial" w:cs="Arial"/>
                <w:b/>
                <w:bCs/>
              </w:rPr>
            </w:pPr>
          </w:p>
        </w:tc>
        <w:tc>
          <w:tcPr>
            <w:tcW w:w="1620" w:type="dxa"/>
            <w:tcBorders>
              <w:top w:val="nil"/>
              <w:left w:val="nil"/>
              <w:bottom w:val="single" w:sz="4" w:space="0" w:color="auto"/>
              <w:right w:val="nil"/>
            </w:tcBorders>
            <w:shd w:val="clear" w:color="auto" w:fill="C0C0C0"/>
          </w:tcPr>
          <w:p w:rsidR="00E7095C" w:rsidRDefault="00E7095C" w:rsidP="001E7D94">
            <w:pPr>
              <w:jc w:val="right"/>
              <w:rPr>
                <w:rFonts w:ascii="Arial" w:hAnsi="Arial" w:cs="Arial"/>
                <w:b/>
                <w:bCs/>
              </w:rPr>
            </w:pPr>
          </w:p>
        </w:tc>
        <w:tc>
          <w:tcPr>
            <w:tcW w:w="1440" w:type="dxa"/>
            <w:tcBorders>
              <w:top w:val="single" w:sz="4" w:space="0" w:color="auto"/>
              <w:left w:val="nil"/>
              <w:bottom w:val="single" w:sz="4" w:space="0" w:color="auto"/>
              <w:right w:val="single" w:sz="4" w:space="0" w:color="auto"/>
            </w:tcBorders>
          </w:tcPr>
          <w:p w:rsidR="00E7095C" w:rsidRDefault="00E7095C" w:rsidP="00B27F8B">
            <w:pPr>
              <w:jc w:val="right"/>
              <w:rPr>
                <w:rFonts w:ascii="Arial" w:hAnsi="Arial" w:cs="Arial"/>
                <w:b/>
                <w:bCs/>
              </w:rPr>
            </w:pPr>
          </w:p>
        </w:tc>
        <w:tc>
          <w:tcPr>
            <w:tcW w:w="1260" w:type="dxa"/>
            <w:tcBorders>
              <w:top w:val="nil"/>
              <w:left w:val="single" w:sz="4" w:space="0" w:color="auto"/>
              <w:bottom w:val="single" w:sz="4" w:space="0" w:color="auto"/>
              <w:right w:val="single" w:sz="4" w:space="0" w:color="auto"/>
            </w:tcBorders>
          </w:tcPr>
          <w:p w:rsidR="00E7095C" w:rsidRDefault="00E7095C" w:rsidP="001E7D94">
            <w:pPr>
              <w:jc w:val="right"/>
              <w:rPr>
                <w:rFonts w:ascii="Arial" w:hAnsi="Arial" w:cs="Arial"/>
                <w:b/>
                <w:bCs/>
              </w:rPr>
            </w:pPr>
          </w:p>
        </w:tc>
        <w:tc>
          <w:tcPr>
            <w:tcW w:w="1758" w:type="dxa"/>
            <w:tcBorders>
              <w:top w:val="single" w:sz="4" w:space="0" w:color="auto"/>
              <w:left w:val="nil"/>
              <w:bottom w:val="single" w:sz="4" w:space="0" w:color="auto"/>
              <w:right w:val="single" w:sz="4" w:space="0" w:color="auto"/>
            </w:tcBorders>
          </w:tcPr>
          <w:p w:rsidR="00E7095C" w:rsidRDefault="00E7095C" w:rsidP="00B27F8B">
            <w:pPr>
              <w:jc w:val="right"/>
              <w:rPr>
                <w:rFonts w:ascii="Arial" w:hAnsi="Arial" w:cs="Arial"/>
                <w:b/>
                <w:bCs/>
              </w:rPr>
            </w:pPr>
          </w:p>
        </w:tc>
      </w:tr>
    </w:tbl>
    <w:p w:rsidR="00F247CE" w:rsidRDefault="00F247CE" w:rsidP="00F247CE">
      <w:pPr>
        <w:jc w:val="both"/>
        <w:rPr>
          <w:rFonts w:ascii="Arial" w:hAnsi="Arial" w:cs="Arial"/>
        </w:rPr>
      </w:pPr>
    </w:p>
    <w:p w:rsidR="006C0C0C" w:rsidRDefault="006C0C0C" w:rsidP="006C0C0C">
      <w:pPr>
        <w:ind w:right="-720"/>
        <w:jc w:val="both"/>
        <w:rPr>
          <w:rFonts w:ascii="Arial" w:hAnsi="Arial" w:cs="Arial"/>
        </w:rPr>
      </w:pPr>
    </w:p>
    <w:p w:rsidR="006C0C0C" w:rsidRDefault="006C0C0C" w:rsidP="006C0C0C">
      <w:pPr>
        <w:ind w:right="-720"/>
        <w:jc w:val="both"/>
        <w:rPr>
          <w:rFonts w:ascii="Arial" w:hAnsi="Arial" w:cs="Arial"/>
        </w:rPr>
      </w:pPr>
    </w:p>
    <w:p w:rsidR="00F61B46" w:rsidRDefault="00F61B46" w:rsidP="00A6724C">
      <w:pPr>
        <w:ind w:right="43"/>
        <w:jc w:val="both"/>
        <w:rPr>
          <w:rFonts w:ascii="Arial" w:hAnsi="Arial" w:cs="Arial"/>
        </w:rPr>
      </w:pPr>
      <w:r>
        <w:rPr>
          <w:rFonts w:ascii="Arial" w:hAnsi="Arial" w:cs="Arial"/>
        </w:rPr>
        <w:t>**</w:t>
      </w:r>
    </w:p>
    <w:p w:rsidR="00A6724C" w:rsidRDefault="00A745C0" w:rsidP="00A6724C">
      <w:pPr>
        <w:ind w:right="43"/>
        <w:jc w:val="both"/>
        <w:rPr>
          <w:rFonts w:ascii="Arial" w:hAnsi="Arial" w:cs="Arial"/>
        </w:rPr>
      </w:pPr>
      <w:r w:rsidRPr="00F247CE">
        <w:rPr>
          <w:rFonts w:ascii="Arial" w:hAnsi="Arial" w:cs="Arial"/>
        </w:rPr>
        <w:t>Over the last year there have also been new initiatives from</w:t>
      </w:r>
      <w:r w:rsidR="00F247CE" w:rsidRPr="00F247CE">
        <w:rPr>
          <w:rFonts w:ascii="Arial" w:hAnsi="Arial" w:cs="Arial"/>
        </w:rPr>
        <w:t xml:space="preserve"> the DWP, specifically the Real Time Information Bulk Data Matching exercise (RTI)</w:t>
      </w:r>
      <w:r w:rsidR="00CF34F9">
        <w:rPr>
          <w:rFonts w:ascii="Arial" w:hAnsi="Arial" w:cs="Arial"/>
        </w:rPr>
        <w:t>,</w:t>
      </w:r>
      <w:r w:rsidR="00F247CE" w:rsidRPr="00F247CE">
        <w:rPr>
          <w:rFonts w:ascii="Arial" w:hAnsi="Arial" w:cs="Arial"/>
        </w:rPr>
        <w:t xml:space="preserve"> which means the DWP is </w:t>
      </w:r>
      <w:r w:rsidR="00CF34F9">
        <w:rPr>
          <w:rFonts w:ascii="Arial" w:hAnsi="Arial" w:cs="Arial"/>
        </w:rPr>
        <w:t xml:space="preserve">currently </w:t>
      </w:r>
      <w:r w:rsidR="00F247CE" w:rsidRPr="00F247CE">
        <w:rPr>
          <w:rFonts w:ascii="Arial" w:hAnsi="Arial" w:cs="Arial"/>
        </w:rPr>
        <w:t>providing retrospective information to the authority about claimant changes</w:t>
      </w:r>
      <w:r w:rsidR="00CF34F9">
        <w:rPr>
          <w:rFonts w:ascii="Arial" w:hAnsi="Arial" w:cs="Arial"/>
        </w:rPr>
        <w:t xml:space="preserve"> not previously known to Harrow</w:t>
      </w:r>
      <w:r w:rsidR="00F247CE" w:rsidRPr="00F247CE">
        <w:rPr>
          <w:rFonts w:ascii="Arial" w:hAnsi="Arial" w:cs="Arial"/>
        </w:rPr>
        <w:t xml:space="preserve">. This has resulted in a higher than normal increase in the </w:t>
      </w:r>
      <w:r w:rsidR="00CF34F9">
        <w:rPr>
          <w:rFonts w:ascii="Arial" w:hAnsi="Arial" w:cs="Arial"/>
        </w:rPr>
        <w:t xml:space="preserve">raising </w:t>
      </w:r>
      <w:r w:rsidR="00F247CE" w:rsidRPr="00F247CE">
        <w:rPr>
          <w:rFonts w:ascii="Arial" w:hAnsi="Arial" w:cs="Arial"/>
        </w:rPr>
        <w:t>of H</w:t>
      </w:r>
      <w:r w:rsidR="00CF34F9">
        <w:rPr>
          <w:rFonts w:ascii="Arial" w:hAnsi="Arial" w:cs="Arial"/>
        </w:rPr>
        <w:t>ousing Benefit overpayment</w:t>
      </w:r>
      <w:r w:rsidR="00F247CE" w:rsidRPr="00F247CE">
        <w:rPr>
          <w:rFonts w:ascii="Arial" w:hAnsi="Arial" w:cs="Arial"/>
        </w:rPr>
        <w:t xml:space="preserve"> </w:t>
      </w:r>
      <w:r w:rsidR="00CF34F9">
        <w:rPr>
          <w:rFonts w:ascii="Arial" w:hAnsi="Arial" w:cs="Arial"/>
        </w:rPr>
        <w:t xml:space="preserve">debts </w:t>
      </w:r>
      <w:r w:rsidR="00F247CE" w:rsidRPr="00F247CE">
        <w:rPr>
          <w:rFonts w:ascii="Arial" w:hAnsi="Arial" w:cs="Arial"/>
        </w:rPr>
        <w:t xml:space="preserve">which unfortunately is increasing the </w:t>
      </w:r>
      <w:r w:rsidR="00CF34F9">
        <w:rPr>
          <w:rFonts w:ascii="Arial" w:hAnsi="Arial" w:cs="Arial"/>
        </w:rPr>
        <w:t>o</w:t>
      </w:r>
      <w:r w:rsidR="00F247CE" w:rsidRPr="00F247CE">
        <w:rPr>
          <w:rFonts w:ascii="Arial" w:hAnsi="Arial" w:cs="Arial"/>
        </w:rPr>
        <w:t xml:space="preserve">verpayments figures and </w:t>
      </w:r>
      <w:r w:rsidR="00F61B46">
        <w:rPr>
          <w:rFonts w:ascii="Arial" w:hAnsi="Arial" w:cs="Arial"/>
        </w:rPr>
        <w:t xml:space="preserve">will </w:t>
      </w:r>
      <w:r w:rsidR="00F247CE" w:rsidRPr="00F247CE">
        <w:rPr>
          <w:rFonts w:ascii="Arial" w:hAnsi="Arial" w:cs="Arial"/>
        </w:rPr>
        <w:t xml:space="preserve">add </w:t>
      </w:r>
      <w:r w:rsidR="00CF34F9">
        <w:rPr>
          <w:rFonts w:ascii="Arial" w:hAnsi="Arial" w:cs="Arial"/>
        </w:rPr>
        <w:t>pressure</w:t>
      </w:r>
      <w:r w:rsidR="00F247CE" w:rsidRPr="00F247CE">
        <w:rPr>
          <w:rFonts w:ascii="Arial" w:hAnsi="Arial" w:cs="Arial"/>
        </w:rPr>
        <w:t xml:space="preserve"> to the bad debt provision</w:t>
      </w:r>
      <w:r w:rsidR="00F61B46">
        <w:rPr>
          <w:rFonts w:ascii="Arial" w:hAnsi="Arial" w:cs="Arial"/>
        </w:rPr>
        <w:t xml:space="preserve"> later in the year</w:t>
      </w:r>
      <w:r w:rsidR="00CF34F9">
        <w:rPr>
          <w:rFonts w:ascii="Arial" w:hAnsi="Arial" w:cs="Arial"/>
        </w:rPr>
        <w:t>.</w:t>
      </w:r>
    </w:p>
    <w:p w:rsidR="00A6724C" w:rsidRDefault="00A6724C" w:rsidP="006C0C0C">
      <w:pPr>
        <w:ind w:right="-720"/>
        <w:jc w:val="both"/>
        <w:rPr>
          <w:rFonts w:ascii="Arial" w:hAnsi="Arial" w:cs="Arial"/>
        </w:rPr>
      </w:pPr>
    </w:p>
    <w:p w:rsidR="00A6724C" w:rsidRPr="00A6724C" w:rsidRDefault="00A6724C" w:rsidP="00A6724C">
      <w:pPr>
        <w:jc w:val="both"/>
        <w:rPr>
          <w:rFonts w:ascii="Arial" w:hAnsi="Arial" w:cs="Arial"/>
        </w:rPr>
      </w:pPr>
      <w:r>
        <w:rPr>
          <w:rFonts w:ascii="Arial" w:hAnsi="Arial" w:cs="Arial"/>
        </w:rPr>
        <w:t>Additionally there is further risk to the BDP as</w:t>
      </w:r>
      <w:r w:rsidR="00B9496C">
        <w:rPr>
          <w:rFonts w:ascii="Arial" w:hAnsi="Arial" w:cs="Arial"/>
        </w:rPr>
        <w:t xml:space="preserve"> part of the</w:t>
      </w:r>
      <w:r>
        <w:rPr>
          <w:rFonts w:ascii="Arial" w:hAnsi="Arial" w:cs="Arial"/>
        </w:rPr>
        <w:t xml:space="preserve"> housing benefit subsidy normally received regarding </w:t>
      </w:r>
      <w:r w:rsidR="00C61C97">
        <w:rPr>
          <w:rFonts w:ascii="Arial" w:hAnsi="Arial" w:cs="Arial"/>
        </w:rPr>
        <w:t>overpayments (</w:t>
      </w:r>
      <w:r>
        <w:rPr>
          <w:rFonts w:ascii="Arial" w:hAnsi="Arial" w:cs="Arial"/>
        </w:rPr>
        <w:t>which would fund the BDP provision)</w:t>
      </w:r>
      <w:r w:rsidR="000340CB">
        <w:rPr>
          <w:rFonts w:ascii="Arial" w:hAnsi="Arial" w:cs="Arial"/>
        </w:rPr>
        <w:t xml:space="preserve"> is at risk.</w:t>
      </w:r>
      <w:r>
        <w:rPr>
          <w:rFonts w:ascii="Arial" w:hAnsi="Arial" w:cs="Arial"/>
        </w:rPr>
        <w:t xml:space="preserve"> This is because t</w:t>
      </w:r>
      <w:r w:rsidRPr="00A6724C">
        <w:rPr>
          <w:rFonts w:ascii="Arial" w:hAnsi="Arial" w:cs="Arial"/>
        </w:rPr>
        <w:t>he Housing Benefit LA error overpayment threshold is set as a percentage of HB annual expenditure.  If the level of LA error OPs raised in year are below this threshold the authority receives 100% subsidy against the value of LA error OPs raised.  If the LA error OPs exceed the lower threshold the authority receives 40% subsidy against the total value of LA error OPs raised, and above the upper threshold 0% subsidy against the total raised.</w:t>
      </w:r>
    </w:p>
    <w:p w:rsidR="00A6724C" w:rsidRPr="00A6724C" w:rsidRDefault="00A6724C" w:rsidP="00A6724C">
      <w:pPr>
        <w:jc w:val="both"/>
        <w:rPr>
          <w:rFonts w:ascii="Arial" w:hAnsi="Arial" w:cs="Arial"/>
        </w:rPr>
      </w:pPr>
    </w:p>
    <w:p w:rsidR="00A6724C" w:rsidRPr="00A6724C" w:rsidRDefault="00A6724C" w:rsidP="00A6724C">
      <w:pPr>
        <w:jc w:val="both"/>
        <w:rPr>
          <w:rFonts w:ascii="Arial" w:hAnsi="Arial" w:cs="Arial"/>
        </w:rPr>
      </w:pPr>
      <w:r w:rsidRPr="00A6724C">
        <w:rPr>
          <w:rFonts w:ascii="Arial" w:hAnsi="Arial" w:cs="Arial"/>
        </w:rPr>
        <w:lastRenderedPageBreak/>
        <w:t>2014/15 year end LA error OP thresholds were:</w:t>
      </w:r>
    </w:p>
    <w:p w:rsidR="00A6724C" w:rsidRPr="00A6724C" w:rsidRDefault="00A6724C" w:rsidP="00A6724C">
      <w:pPr>
        <w:jc w:val="both"/>
        <w:rPr>
          <w:rFonts w:ascii="Arial" w:hAnsi="Arial" w:cs="Arial"/>
        </w:rPr>
      </w:pPr>
    </w:p>
    <w:p w:rsidR="00A6724C" w:rsidRPr="00A6724C" w:rsidRDefault="00A6724C" w:rsidP="00A6724C">
      <w:pPr>
        <w:jc w:val="both"/>
        <w:rPr>
          <w:rFonts w:ascii="Arial" w:hAnsi="Arial" w:cs="Arial"/>
        </w:rPr>
      </w:pPr>
      <w:r w:rsidRPr="00A6724C">
        <w:rPr>
          <w:rFonts w:ascii="Arial" w:hAnsi="Arial" w:cs="Arial"/>
        </w:rPr>
        <w:t>Lower threshold: £689,831</w:t>
      </w:r>
    </w:p>
    <w:p w:rsidR="00A6724C" w:rsidRDefault="00A6724C" w:rsidP="00A6724C">
      <w:pPr>
        <w:jc w:val="both"/>
        <w:rPr>
          <w:rFonts w:ascii="Arial" w:hAnsi="Arial" w:cs="Arial"/>
        </w:rPr>
      </w:pPr>
      <w:r w:rsidRPr="00A6724C">
        <w:rPr>
          <w:rFonts w:ascii="Arial" w:hAnsi="Arial" w:cs="Arial"/>
        </w:rPr>
        <w:t>Upper threshold: £776,095</w:t>
      </w:r>
    </w:p>
    <w:p w:rsidR="005A7B64" w:rsidRDefault="005A7B64" w:rsidP="00A6724C">
      <w:pPr>
        <w:jc w:val="both"/>
        <w:rPr>
          <w:rFonts w:ascii="Arial" w:hAnsi="Arial" w:cs="Arial"/>
        </w:rPr>
      </w:pPr>
    </w:p>
    <w:p w:rsidR="005A7B64" w:rsidRPr="00A6724C" w:rsidRDefault="005A7B64" w:rsidP="00A6724C">
      <w:pPr>
        <w:jc w:val="both"/>
        <w:rPr>
          <w:rFonts w:ascii="Arial" w:hAnsi="Arial" w:cs="Arial"/>
        </w:rPr>
      </w:pPr>
      <w:r>
        <w:rPr>
          <w:rFonts w:ascii="Arial" w:hAnsi="Arial" w:cs="Arial"/>
        </w:rPr>
        <w:t xml:space="preserve">Thresholds are unlikely to increase much as overall benefit is not increasing; </w:t>
      </w:r>
      <w:r w:rsidR="00C61C97">
        <w:rPr>
          <w:rFonts w:ascii="Arial" w:hAnsi="Arial" w:cs="Arial"/>
        </w:rPr>
        <w:t>e.g.</w:t>
      </w:r>
      <w:r>
        <w:rPr>
          <w:rFonts w:ascii="Arial" w:hAnsi="Arial" w:cs="Arial"/>
        </w:rPr>
        <w:t xml:space="preserve"> there are no significant extra claimants.</w:t>
      </w:r>
    </w:p>
    <w:p w:rsidR="00A6724C" w:rsidRPr="00A6724C" w:rsidRDefault="00A6724C" w:rsidP="00A6724C">
      <w:pPr>
        <w:jc w:val="both"/>
        <w:rPr>
          <w:rFonts w:ascii="Arial" w:hAnsi="Arial" w:cs="Arial"/>
        </w:rPr>
      </w:pPr>
    </w:p>
    <w:p w:rsidR="00A6724C" w:rsidRPr="00A6724C" w:rsidRDefault="00A6724C" w:rsidP="00A6724C">
      <w:pPr>
        <w:jc w:val="both"/>
        <w:rPr>
          <w:rFonts w:ascii="Arial" w:hAnsi="Arial" w:cs="Arial"/>
        </w:rPr>
      </w:pPr>
      <w:r w:rsidRPr="00A6724C">
        <w:rPr>
          <w:rFonts w:ascii="Arial" w:hAnsi="Arial" w:cs="Arial"/>
        </w:rPr>
        <w:t>The total LA error OPs raised for 2015/16 will not be known until the end of the financial year, but based on the previous years’ information</w:t>
      </w:r>
      <w:r w:rsidR="00D711E0">
        <w:rPr>
          <w:rFonts w:ascii="Arial" w:hAnsi="Arial" w:cs="Arial"/>
        </w:rPr>
        <w:t xml:space="preserve"> and taking into account the higher volumes of overpayments raised due to the DWP’s RTI exercise</w:t>
      </w:r>
      <w:r w:rsidRPr="00A6724C">
        <w:rPr>
          <w:rFonts w:ascii="Arial" w:hAnsi="Arial" w:cs="Arial"/>
        </w:rPr>
        <w:t xml:space="preserve">, the potential loss to Harrow if the upper threshold is met </w:t>
      </w:r>
      <w:r w:rsidR="00D711E0">
        <w:rPr>
          <w:rFonts w:ascii="Arial" w:hAnsi="Arial" w:cs="Arial"/>
        </w:rPr>
        <w:t>could</w:t>
      </w:r>
      <w:r w:rsidRPr="00A6724C">
        <w:rPr>
          <w:rFonts w:ascii="Arial" w:hAnsi="Arial" w:cs="Arial"/>
        </w:rPr>
        <w:t xml:space="preserve"> be around £</w:t>
      </w:r>
      <w:r w:rsidR="00B9496C">
        <w:rPr>
          <w:rFonts w:ascii="Arial" w:hAnsi="Arial" w:cs="Arial"/>
        </w:rPr>
        <w:t>0.750k</w:t>
      </w:r>
      <w:r w:rsidR="00D711E0">
        <w:rPr>
          <w:rFonts w:ascii="Arial" w:hAnsi="Arial" w:cs="Arial"/>
        </w:rPr>
        <w:t>, which would not be available to fund the BDP as historically has occurred</w:t>
      </w:r>
      <w:r w:rsidRPr="00A6724C">
        <w:rPr>
          <w:rFonts w:ascii="Arial" w:hAnsi="Arial" w:cs="Arial"/>
        </w:rPr>
        <w:t xml:space="preserve">.  To date the LA error OP level is exceeding the rate raised in recent years and passed the lower threshold at the end of the last period ending 13/9/15.  </w:t>
      </w:r>
    </w:p>
    <w:p w:rsidR="00A6724C" w:rsidRPr="00A6724C" w:rsidRDefault="00A6724C" w:rsidP="00A6724C">
      <w:pPr>
        <w:jc w:val="both"/>
        <w:rPr>
          <w:rFonts w:ascii="Arial" w:hAnsi="Arial" w:cs="Arial"/>
        </w:rPr>
      </w:pPr>
    </w:p>
    <w:p w:rsidR="00A6724C" w:rsidRPr="00A6724C" w:rsidRDefault="00A6724C" w:rsidP="00A6724C">
      <w:pPr>
        <w:jc w:val="both"/>
        <w:rPr>
          <w:rFonts w:ascii="Arial" w:hAnsi="Arial" w:cs="Arial"/>
        </w:rPr>
      </w:pPr>
      <w:r w:rsidRPr="00A6724C">
        <w:rPr>
          <w:rFonts w:ascii="Arial" w:hAnsi="Arial" w:cs="Arial"/>
        </w:rPr>
        <w:t>The LA error OP rate in 2015/16 has increased due to the key reasons listed below:</w:t>
      </w:r>
    </w:p>
    <w:p w:rsidR="00A6724C" w:rsidRPr="00A6724C" w:rsidRDefault="00A6724C" w:rsidP="00A6724C">
      <w:pPr>
        <w:jc w:val="both"/>
        <w:rPr>
          <w:rFonts w:ascii="Arial" w:hAnsi="Arial" w:cs="Arial"/>
        </w:rPr>
      </w:pPr>
    </w:p>
    <w:p w:rsidR="00A6724C" w:rsidRPr="00A6724C" w:rsidRDefault="00A6724C" w:rsidP="00A6724C">
      <w:pPr>
        <w:pStyle w:val="ListParagraph"/>
        <w:numPr>
          <w:ilvl w:val="0"/>
          <w:numId w:val="3"/>
        </w:numPr>
        <w:jc w:val="both"/>
        <w:rPr>
          <w:sz w:val="24"/>
          <w:szCs w:val="24"/>
        </w:rPr>
      </w:pPr>
      <w:r w:rsidRPr="00A6724C">
        <w:rPr>
          <w:sz w:val="24"/>
          <w:szCs w:val="24"/>
        </w:rPr>
        <w:t>Delays in processing changes in circumstance.  When the authority is notified of a change, the period between the date the authority was notified and the date the change is actioned is treated as LA error.  The authority is therefore penalised for having a delay to processing changes.  The backlog in Scanning &amp; Indexing has severely impacted the service’s ability to process changes in a timely manner, resulting in increased LA error.</w:t>
      </w:r>
    </w:p>
    <w:p w:rsidR="00A6724C" w:rsidRPr="00A6724C" w:rsidRDefault="00A6724C" w:rsidP="00A6724C">
      <w:pPr>
        <w:pStyle w:val="ListParagraph"/>
        <w:numPr>
          <w:ilvl w:val="0"/>
          <w:numId w:val="3"/>
        </w:numPr>
        <w:jc w:val="both"/>
        <w:rPr>
          <w:sz w:val="24"/>
          <w:szCs w:val="24"/>
        </w:rPr>
      </w:pPr>
      <w:r w:rsidRPr="00A6724C">
        <w:rPr>
          <w:sz w:val="24"/>
          <w:szCs w:val="24"/>
        </w:rPr>
        <w:t>Increased levels of interventions.  The DWP has been targeting fraud and error in the Housing Benefit system.  For a number of years interventions (reviews to existing claims) have been focused on DWP matching and risk assessing claims for LAs to take appropriate action.  While the LA would have liked to have done more, DWP did not fund this activity.  However, with the new focus on fraud &amp; error some funding has been made available and authorities incentivised (either through up front funding or risk of financial penalty through further LA error) to carry out more interventions.  This type of work naturally identifies assessment errors which will also contribute to the level of LA error.  </w:t>
      </w:r>
    </w:p>
    <w:p w:rsidR="00A6724C" w:rsidRPr="00A6724C" w:rsidRDefault="00A6724C" w:rsidP="00A6724C">
      <w:pPr>
        <w:pStyle w:val="ListParagraph"/>
        <w:jc w:val="both"/>
        <w:rPr>
          <w:sz w:val="24"/>
          <w:szCs w:val="24"/>
        </w:rPr>
      </w:pPr>
      <w:r w:rsidRPr="00A6724C">
        <w:rPr>
          <w:sz w:val="24"/>
          <w:szCs w:val="24"/>
        </w:rPr>
        <w:t>While Harrow is seen as a site of best practice for its quality assurance processes, the complexity of the benefits system do not allow for error to be completely removed from the system.  A level of assessment error will therefore always exist in the system which when found will add to the LA error as stated above.</w:t>
      </w:r>
    </w:p>
    <w:p w:rsidR="00A6724C" w:rsidRPr="00A6724C" w:rsidRDefault="00A6724C" w:rsidP="00A6724C">
      <w:pPr>
        <w:pStyle w:val="ListParagraph"/>
        <w:numPr>
          <w:ilvl w:val="0"/>
          <w:numId w:val="3"/>
        </w:numPr>
        <w:ind w:left="735"/>
        <w:jc w:val="both"/>
        <w:rPr>
          <w:sz w:val="24"/>
          <w:szCs w:val="24"/>
        </w:rPr>
      </w:pPr>
      <w:r w:rsidRPr="00A6724C">
        <w:rPr>
          <w:sz w:val="24"/>
          <w:szCs w:val="24"/>
        </w:rPr>
        <w:t>Pressure on resources as a result of new burdens not fully funded by DWP and implemented at short notice.  As part of the fraud and error reduction initiative DWP have placed unexpected new burdens on local authorities which are not fully funded.  This additional pressure on resources has also impacted on the response times for changes in circumstances, and allowing increased LA error OPs to enter the system due to processing delays.</w:t>
      </w:r>
    </w:p>
    <w:p w:rsidR="00A6724C" w:rsidRPr="00A6724C" w:rsidRDefault="00A6724C" w:rsidP="00A6724C">
      <w:pPr>
        <w:pStyle w:val="ListParagraph"/>
        <w:jc w:val="both"/>
        <w:rPr>
          <w:sz w:val="24"/>
          <w:szCs w:val="24"/>
        </w:rPr>
      </w:pPr>
    </w:p>
    <w:p w:rsidR="00A6724C" w:rsidRPr="00A6724C" w:rsidRDefault="00A6724C" w:rsidP="00A6724C">
      <w:pPr>
        <w:jc w:val="both"/>
        <w:rPr>
          <w:rFonts w:ascii="Arial" w:hAnsi="Arial" w:cs="Arial"/>
        </w:rPr>
      </w:pPr>
      <w:r w:rsidRPr="00A6724C">
        <w:rPr>
          <w:rFonts w:ascii="Arial" w:hAnsi="Arial" w:cs="Arial"/>
        </w:rPr>
        <w:t>While the Benefits Service has been working to mitigate the impact of the above, additional pressures are continuing to prevent the risk from being addressed such as reduction in processing staff by our third party contractor as we move toward the end of the contract.</w:t>
      </w:r>
    </w:p>
    <w:p w:rsidR="00A6724C" w:rsidRPr="00A6724C" w:rsidRDefault="00A6724C" w:rsidP="00A6724C">
      <w:pPr>
        <w:jc w:val="both"/>
        <w:rPr>
          <w:rFonts w:ascii="Arial" w:hAnsi="Arial" w:cs="Arial"/>
        </w:rPr>
      </w:pPr>
    </w:p>
    <w:p w:rsidR="00D23625" w:rsidRPr="00F61B46" w:rsidRDefault="00A6724C" w:rsidP="00D23625">
      <w:pPr>
        <w:jc w:val="both"/>
        <w:rPr>
          <w:rFonts w:ascii="Arial" w:hAnsi="Arial" w:cs="Arial"/>
          <w:u w:val="single"/>
        </w:rPr>
      </w:pPr>
      <w:r w:rsidRPr="00A6724C">
        <w:rPr>
          <w:rFonts w:ascii="Arial" w:hAnsi="Arial" w:cs="Arial"/>
        </w:rPr>
        <w:t xml:space="preserve">As a result of the above not only has Harrow hit the lower LA OP threshold, it is very likely to hit the upper threshold.  The Service </w:t>
      </w:r>
      <w:r w:rsidR="00D711E0">
        <w:rPr>
          <w:rFonts w:ascii="Arial" w:hAnsi="Arial" w:cs="Arial"/>
        </w:rPr>
        <w:t>is pro-actively searching for additional resources but as experienced assessors are scarce,</w:t>
      </w:r>
      <w:r w:rsidR="00D23625">
        <w:rPr>
          <w:rFonts w:ascii="Arial" w:hAnsi="Arial" w:cs="Arial"/>
        </w:rPr>
        <w:t xml:space="preserve"> the existing contractor continues to reduce existing resources working on Harrow work,</w:t>
      </w:r>
      <w:r w:rsidR="00D711E0">
        <w:rPr>
          <w:rFonts w:ascii="Arial" w:hAnsi="Arial" w:cs="Arial"/>
        </w:rPr>
        <w:t xml:space="preserve"> and the newly appointed resilience contractor does not commence service delivery until November 2015</w:t>
      </w:r>
      <w:r w:rsidR="005A7B64">
        <w:rPr>
          <w:rFonts w:ascii="Arial" w:hAnsi="Arial" w:cs="Arial"/>
        </w:rPr>
        <w:t>,</w:t>
      </w:r>
      <w:r w:rsidR="00D711E0">
        <w:rPr>
          <w:rFonts w:ascii="Arial" w:hAnsi="Arial" w:cs="Arial"/>
        </w:rPr>
        <w:t xml:space="preserve"> it is </w:t>
      </w:r>
      <w:r w:rsidR="00C34FC9">
        <w:rPr>
          <w:rFonts w:ascii="Arial" w:hAnsi="Arial" w:cs="Arial"/>
        </w:rPr>
        <w:t>not possible</w:t>
      </w:r>
      <w:r w:rsidR="00D711E0">
        <w:rPr>
          <w:rFonts w:ascii="Arial" w:hAnsi="Arial" w:cs="Arial"/>
        </w:rPr>
        <w:t xml:space="preserve"> to predict if the risks can be fully mitigated.</w:t>
      </w:r>
      <w:r w:rsidR="00D23625">
        <w:rPr>
          <w:rFonts w:ascii="Arial" w:hAnsi="Arial" w:cs="Arial"/>
        </w:rPr>
        <w:t xml:space="preserve"> </w:t>
      </w:r>
      <w:r w:rsidR="00D23625" w:rsidRPr="00D23625">
        <w:rPr>
          <w:rFonts w:ascii="Arial" w:hAnsi="Arial" w:cs="Arial"/>
          <w:bCs/>
        </w:rPr>
        <w:t xml:space="preserve">It should </w:t>
      </w:r>
      <w:r w:rsidR="00D23625">
        <w:rPr>
          <w:rFonts w:ascii="Arial" w:hAnsi="Arial" w:cs="Arial"/>
          <w:bCs/>
        </w:rPr>
        <w:t xml:space="preserve">therefore </w:t>
      </w:r>
      <w:r w:rsidR="00D23625" w:rsidRPr="00D23625">
        <w:rPr>
          <w:rFonts w:ascii="Arial" w:hAnsi="Arial" w:cs="Arial"/>
          <w:bCs/>
        </w:rPr>
        <w:t xml:space="preserve">be noted that there is a </w:t>
      </w:r>
      <w:r w:rsidR="00C34FC9">
        <w:rPr>
          <w:rFonts w:ascii="Arial" w:hAnsi="Arial" w:cs="Arial"/>
          <w:bCs/>
        </w:rPr>
        <w:t>potential</w:t>
      </w:r>
      <w:r w:rsidR="00D23625" w:rsidRPr="00D23625">
        <w:rPr>
          <w:rFonts w:ascii="Arial" w:hAnsi="Arial" w:cs="Arial"/>
          <w:bCs/>
        </w:rPr>
        <w:t xml:space="preserve"> risk that Harrow will lose up to £</w:t>
      </w:r>
      <w:r w:rsidR="00B9496C">
        <w:rPr>
          <w:rFonts w:ascii="Arial" w:hAnsi="Arial" w:cs="Arial"/>
          <w:bCs/>
        </w:rPr>
        <w:t>0.750k</w:t>
      </w:r>
      <w:r w:rsidR="00D23625" w:rsidRPr="00D23625">
        <w:rPr>
          <w:rFonts w:ascii="Arial" w:hAnsi="Arial" w:cs="Arial"/>
          <w:bCs/>
        </w:rPr>
        <w:t xml:space="preserve"> from its HB subsidy claim for 2015/16 which in turn will create a</w:t>
      </w:r>
      <w:r w:rsidR="00C34FC9">
        <w:rPr>
          <w:rFonts w:ascii="Arial" w:hAnsi="Arial" w:cs="Arial"/>
          <w:bCs/>
        </w:rPr>
        <w:t>n increase in the BDP of £4</w:t>
      </w:r>
      <w:r w:rsidR="00856631">
        <w:rPr>
          <w:rFonts w:ascii="Arial" w:hAnsi="Arial" w:cs="Arial"/>
          <w:bCs/>
        </w:rPr>
        <w:t>5</w:t>
      </w:r>
      <w:bookmarkStart w:id="0" w:name="_GoBack"/>
      <w:bookmarkEnd w:id="0"/>
      <w:r w:rsidR="00C34FC9">
        <w:rPr>
          <w:rFonts w:ascii="Arial" w:hAnsi="Arial" w:cs="Arial"/>
          <w:bCs/>
        </w:rPr>
        <w:t>0k in excess of the budget.</w:t>
      </w:r>
    </w:p>
    <w:p w:rsidR="00D711E0" w:rsidRDefault="00D711E0" w:rsidP="00A6724C">
      <w:pPr>
        <w:jc w:val="both"/>
        <w:rPr>
          <w:rFonts w:ascii="Arial" w:hAnsi="Arial" w:cs="Arial"/>
        </w:rPr>
      </w:pPr>
    </w:p>
    <w:p w:rsidR="00D711E0" w:rsidRDefault="00D711E0" w:rsidP="00A6724C">
      <w:pPr>
        <w:jc w:val="both"/>
        <w:rPr>
          <w:rFonts w:ascii="Arial" w:hAnsi="Arial" w:cs="Arial"/>
        </w:rPr>
      </w:pPr>
    </w:p>
    <w:sectPr w:rsidR="00D711E0" w:rsidSect="00A6724C">
      <w:pgSz w:w="12240" w:h="15840"/>
      <w:pgMar w:top="719" w:right="104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A5C1F"/>
    <w:multiLevelType w:val="hybridMultilevel"/>
    <w:tmpl w:val="F8127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BCB12A7"/>
    <w:multiLevelType w:val="hybridMultilevel"/>
    <w:tmpl w:val="6CAA2410"/>
    <w:lvl w:ilvl="0" w:tplc="08090001">
      <w:start w:val="20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574E2D"/>
    <w:multiLevelType w:val="hybridMultilevel"/>
    <w:tmpl w:val="20FEFDA0"/>
    <w:lvl w:ilvl="0" w:tplc="FFFFFFFF">
      <w:start w:val="1"/>
      <w:numFmt w:val="decimal"/>
      <w:pStyle w:val="Style1"/>
      <w:lvlText w:val="%1."/>
      <w:lvlJc w:val="left"/>
      <w:pPr>
        <w:tabs>
          <w:tab w:val="num" w:pos="786"/>
        </w:tabs>
        <w:ind w:left="786" w:hanging="360"/>
      </w:pPr>
    </w:lvl>
    <w:lvl w:ilvl="1" w:tplc="FFFFFFFF">
      <w:start w:val="1"/>
      <w:numFmt w:val="decimal"/>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A3"/>
    <w:rsid w:val="00006027"/>
    <w:rsid w:val="00006233"/>
    <w:rsid w:val="00006763"/>
    <w:rsid w:val="0001269D"/>
    <w:rsid w:val="00012AD3"/>
    <w:rsid w:val="000340CB"/>
    <w:rsid w:val="000537DB"/>
    <w:rsid w:val="00060B2B"/>
    <w:rsid w:val="000817F6"/>
    <w:rsid w:val="000960D7"/>
    <w:rsid w:val="000D066B"/>
    <w:rsid w:val="000D499C"/>
    <w:rsid w:val="000E0EB9"/>
    <w:rsid w:val="00115425"/>
    <w:rsid w:val="00155EC2"/>
    <w:rsid w:val="00161DF2"/>
    <w:rsid w:val="00181813"/>
    <w:rsid w:val="001C11FD"/>
    <w:rsid w:val="001C2873"/>
    <w:rsid w:val="001E7D94"/>
    <w:rsid w:val="00212FD6"/>
    <w:rsid w:val="00213DA5"/>
    <w:rsid w:val="0022513F"/>
    <w:rsid w:val="00232CAA"/>
    <w:rsid w:val="00233BC2"/>
    <w:rsid w:val="00237418"/>
    <w:rsid w:val="00237BA3"/>
    <w:rsid w:val="002512D2"/>
    <w:rsid w:val="00252BE9"/>
    <w:rsid w:val="00254886"/>
    <w:rsid w:val="00260961"/>
    <w:rsid w:val="00276C84"/>
    <w:rsid w:val="00284662"/>
    <w:rsid w:val="002B58A6"/>
    <w:rsid w:val="002F0D72"/>
    <w:rsid w:val="002F6CFD"/>
    <w:rsid w:val="0030045F"/>
    <w:rsid w:val="003161CE"/>
    <w:rsid w:val="00316834"/>
    <w:rsid w:val="00327591"/>
    <w:rsid w:val="0033280F"/>
    <w:rsid w:val="003633A5"/>
    <w:rsid w:val="00382D5C"/>
    <w:rsid w:val="00391F59"/>
    <w:rsid w:val="003A06AD"/>
    <w:rsid w:val="003B51C7"/>
    <w:rsid w:val="003D1055"/>
    <w:rsid w:val="003D3DF9"/>
    <w:rsid w:val="003D5C7A"/>
    <w:rsid w:val="003D76F2"/>
    <w:rsid w:val="00414DD5"/>
    <w:rsid w:val="00442188"/>
    <w:rsid w:val="00451861"/>
    <w:rsid w:val="00452D68"/>
    <w:rsid w:val="004801F9"/>
    <w:rsid w:val="004928EF"/>
    <w:rsid w:val="004E28E0"/>
    <w:rsid w:val="004F327E"/>
    <w:rsid w:val="004F5DAC"/>
    <w:rsid w:val="004F70C0"/>
    <w:rsid w:val="00515C7E"/>
    <w:rsid w:val="00525334"/>
    <w:rsid w:val="00525C71"/>
    <w:rsid w:val="005375C6"/>
    <w:rsid w:val="00543671"/>
    <w:rsid w:val="005626FD"/>
    <w:rsid w:val="005876B1"/>
    <w:rsid w:val="005A7B64"/>
    <w:rsid w:val="005B2ED7"/>
    <w:rsid w:val="006034B9"/>
    <w:rsid w:val="006148D0"/>
    <w:rsid w:val="006307ED"/>
    <w:rsid w:val="00631B4D"/>
    <w:rsid w:val="00681EC2"/>
    <w:rsid w:val="00694252"/>
    <w:rsid w:val="006C0C0C"/>
    <w:rsid w:val="006C19FB"/>
    <w:rsid w:val="006F723F"/>
    <w:rsid w:val="007102D8"/>
    <w:rsid w:val="00720213"/>
    <w:rsid w:val="00750E63"/>
    <w:rsid w:val="00784E32"/>
    <w:rsid w:val="00797F3D"/>
    <w:rsid w:val="007D2A81"/>
    <w:rsid w:val="007D2EDD"/>
    <w:rsid w:val="007D6CEF"/>
    <w:rsid w:val="007F61F4"/>
    <w:rsid w:val="00805E16"/>
    <w:rsid w:val="00825F9A"/>
    <w:rsid w:val="00827C4A"/>
    <w:rsid w:val="00832204"/>
    <w:rsid w:val="00834493"/>
    <w:rsid w:val="00834E17"/>
    <w:rsid w:val="00856631"/>
    <w:rsid w:val="0088086F"/>
    <w:rsid w:val="008821A0"/>
    <w:rsid w:val="00893774"/>
    <w:rsid w:val="00895A18"/>
    <w:rsid w:val="008B0899"/>
    <w:rsid w:val="008C4D6D"/>
    <w:rsid w:val="008F3510"/>
    <w:rsid w:val="008F604F"/>
    <w:rsid w:val="00913578"/>
    <w:rsid w:val="00923E6D"/>
    <w:rsid w:val="009659E1"/>
    <w:rsid w:val="00984614"/>
    <w:rsid w:val="0098481D"/>
    <w:rsid w:val="00987AA6"/>
    <w:rsid w:val="009A2B63"/>
    <w:rsid w:val="009C03B2"/>
    <w:rsid w:val="009F2600"/>
    <w:rsid w:val="00A33234"/>
    <w:rsid w:val="00A33F37"/>
    <w:rsid w:val="00A60271"/>
    <w:rsid w:val="00A6126B"/>
    <w:rsid w:val="00A6724C"/>
    <w:rsid w:val="00A70C59"/>
    <w:rsid w:val="00A7436E"/>
    <w:rsid w:val="00A745C0"/>
    <w:rsid w:val="00A90AEF"/>
    <w:rsid w:val="00A93876"/>
    <w:rsid w:val="00AA1171"/>
    <w:rsid w:val="00AB019A"/>
    <w:rsid w:val="00AB7D7C"/>
    <w:rsid w:val="00AE2DE1"/>
    <w:rsid w:val="00AF3C6F"/>
    <w:rsid w:val="00B10996"/>
    <w:rsid w:val="00B1176B"/>
    <w:rsid w:val="00B27F8B"/>
    <w:rsid w:val="00B3238E"/>
    <w:rsid w:val="00B3609B"/>
    <w:rsid w:val="00B43C1B"/>
    <w:rsid w:val="00B60848"/>
    <w:rsid w:val="00B80A82"/>
    <w:rsid w:val="00B84294"/>
    <w:rsid w:val="00B87680"/>
    <w:rsid w:val="00B9496C"/>
    <w:rsid w:val="00B95FCE"/>
    <w:rsid w:val="00BB6B55"/>
    <w:rsid w:val="00BC48DF"/>
    <w:rsid w:val="00BD07D4"/>
    <w:rsid w:val="00BE6A58"/>
    <w:rsid w:val="00BF217A"/>
    <w:rsid w:val="00C11259"/>
    <w:rsid w:val="00C25214"/>
    <w:rsid w:val="00C317DF"/>
    <w:rsid w:val="00C34FC9"/>
    <w:rsid w:val="00C44C1D"/>
    <w:rsid w:val="00C53613"/>
    <w:rsid w:val="00C5579A"/>
    <w:rsid w:val="00C61C97"/>
    <w:rsid w:val="00C667F7"/>
    <w:rsid w:val="00CA05B2"/>
    <w:rsid w:val="00CB29A0"/>
    <w:rsid w:val="00CC07AE"/>
    <w:rsid w:val="00CD6448"/>
    <w:rsid w:val="00CF34F9"/>
    <w:rsid w:val="00CF5537"/>
    <w:rsid w:val="00D0422F"/>
    <w:rsid w:val="00D12642"/>
    <w:rsid w:val="00D23625"/>
    <w:rsid w:val="00D24BC8"/>
    <w:rsid w:val="00D25DDB"/>
    <w:rsid w:val="00D46403"/>
    <w:rsid w:val="00D577F3"/>
    <w:rsid w:val="00D711E0"/>
    <w:rsid w:val="00D813D3"/>
    <w:rsid w:val="00D82A5E"/>
    <w:rsid w:val="00DA662F"/>
    <w:rsid w:val="00DC02B8"/>
    <w:rsid w:val="00DC1480"/>
    <w:rsid w:val="00DD4417"/>
    <w:rsid w:val="00E0171C"/>
    <w:rsid w:val="00E04727"/>
    <w:rsid w:val="00E067BE"/>
    <w:rsid w:val="00E15EBC"/>
    <w:rsid w:val="00E32645"/>
    <w:rsid w:val="00E37C0C"/>
    <w:rsid w:val="00E6646A"/>
    <w:rsid w:val="00E7095C"/>
    <w:rsid w:val="00E97D40"/>
    <w:rsid w:val="00EA7DD7"/>
    <w:rsid w:val="00EB2B40"/>
    <w:rsid w:val="00EB6604"/>
    <w:rsid w:val="00EC5B2F"/>
    <w:rsid w:val="00EE0058"/>
    <w:rsid w:val="00EF135F"/>
    <w:rsid w:val="00F12974"/>
    <w:rsid w:val="00F15BA9"/>
    <w:rsid w:val="00F247CE"/>
    <w:rsid w:val="00F354E9"/>
    <w:rsid w:val="00F50652"/>
    <w:rsid w:val="00F61B46"/>
    <w:rsid w:val="00F741B0"/>
    <w:rsid w:val="00F7740F"/>
    <w:rsid w:val="00FF1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BA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37BA3"/>
    <w:pPr>
      <w:numPr>
        <w:numId w:val="1"/>
      </w:numPr>
      <w:tabs>
        <w:tab w:val="clear" w:pos="786"/>
      </w:tabs>
      <w:spacing w:before="120" w:after="120"/>
      <w:ind w:left="364"/>
    </w:pPr>
    <w:rPr>
      <w:rFonts w:ascii="Arial" w:hAnsi="Arial" w:cs="Arial"/>
    </w:rPr>
  </w:style>
  <w:style w:type="paragraph" w:styleId="BodyText3">
    <w:name w:val="Body Text 3"/>
    <w:basedOn w:val="Normal"/>
    <w:rsid w:val="00237BA3"/>
    <w:pPr>
      <w:jc w:val="both"/>
    </w:pPr>
    <w:rPr>
      <w:rFonts w:ascii="Arial" w:hAnsi="Arial" w:cs="Arial"/>
    </w:rPr>
  </w:style>
  <w:style w:type="paragraph" w:customStyle="1" w:styleId="xl46">
    <w:name w:val="xl46"/>
    <w:basedOn w:val="Normal"/>
    <w:rsid w:val="00237BA3"/>
    <w:pPr>
      <w:pBdr>
        <w:left w:val="single" w:sz="4" w:space="0" w:color="auto"/>
      </w:pBdr>
      <w:spacing w:before="100" w:beforeAutospacing="1" w:after="100" w:afterAutospacing="1"/>
      <w:jc w:val="center"/>
      <w:textAlignment w:val="top"/>
    </w:pPr>
    <w:rPr>
      <w:rFonts w:ascii="Century Gothic" w:eastAsia="Arial Unicode MS" w:hAnsi="Century Gothic" w:cs="Arial Unicode MS"/>
      <w:b/>
      <w:bCs/>
    </w:rPr>
  </w:style>
  <w:style w:type="paragraph" w:styleId="BalloonText">
    <w:name w:val="Balloon Text"/>
    <w:basedOn w:val="Normal"/>
    <w:link w:val="BalloonTextChar"/>
    <w:rsid w:val="00784E32"/>
    <w:rPr>
      <w:rFonts w:ascii="Tahoma" w:hAnsi="Tahoma" w:cs="Tahoma"/>
      <w:sz w:val="16"/>
      <w:szCs w:val="16"/>
    </w:rPr>
  </w:style>
  <w:style w:type="character" w:customStyle="1" w:styleId="BalloonTextChar">
    <w:name w:val="Balloon Text Char"/>
    <w:link w:val="BalloonText"/>
    <w:rsid w:val="00784E32"/>
    <w:rPr>
      <w:rFonts w:ascii="Tahoma" w:hAnsi="Tahoma" w:cs="Tahoma"/>
      <w:sz w:val="16"/>
      <w:szCs w:val="16"/>
      <w:lang w:eastAsia="en-US"/>
    </w:rPr>
  </w:style>
  <w:style w:type="paragraph" w:styleId="ListParagraph">
    <w:name w:val="List Paragraph"/>
    <w:basedOn w:val="Normal"/>
    <w:uiPriority w:val="34"/>
    <w:qFormat/>
    <w:rsid w:val="00A6724C"/>
    <w:pPr>
      <w:ind w:left="720"/>
    </w:pPr>
    <w:rPr>
      <w:rFonts w:ascii="Arial" w:eastAsia="Calibri" w:hAnsi="Arial" w:cs="Arial"/>
      <w:color w:val="000000"/>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BA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37BA3"/>
    <w:pPr>
      <w:numPr>
        <w:numId w:val="1"/>
      </w:numPr>
      <w:tabs>
        <w:tab w:val="clear" w:pos="786"/>
      </w:tabs>
      <w:spacing w:before="120" w:after="120"/>
      <w:ind w:left="364"/>
    </w:pPr>
    <w:rPr>
      <w:rFonts w:ascii="Arial" w:hAnsi="Arial" w:cs="Arial"/>
    </w:rPr>
  </w:style>
  <w:style w:type="paragraph" w:styleId="BodyText3">
    <w:name w:val="Body Text 3"/>
    <w:basedOn w:val="Normal"/>
    <w:rsid w:val="00237BA3"/>
    <w:pPr>
      <w:jc w:val="both"/>
    </w:pPr>
    <w:rPr>
      <w:rFonts w:ascii="Arial" w:hAnsi="Arial" w:cs="Arial"/>
    </w:rPr>
  </w:style>
  <w:style w:type="paragraph" w:customStyle="1" w:styleId="xl46">
    <w:name w:val="xl46"/>
    <w:basedOn w:val="Normal"/>
    <w:rsid w:val="00237BA3"/>
    <w:pPr>
      <w:pBdr>
        <w:left w:val="single" w:sz="4" w:space="0" w:color="auto"/>
      </w:pBdr>
      <w:spacing w:before="100" w:beforeAutospacing="1" w:after="100" w:afterAutospacing="1"/>
      <w:jc w:val="center"/>
      <w:textAlignment w:val="top"/>
    </w:pPr>
    <w:rPr>
      <w:rFonts w:ascii="Century Gothic" w:eastAsia="Arial Unicode MS" w:hAnsi="Century Gothic" w:cs="Arial Unicode MS"/>
      <w:b/>
      <w:bCs/>
    </w:rPr>
  </w:style>
  <w:style w:type="paragraph" w:styleId="BalloonText">
    <w:name w:val="Balloon Text"/>
    <w:basedOn w:val="Normal"/>
    <w:link w:val="BalloonTextChar"/>
    <w:rsid w:val="00784E32"/>
    <w:rPr>
      <w:rFonts w:ascii="Tahoma" w:hAnsi="Tahoma" w:cs="Tahoma"/>
      <w:sz w:val="16"/>
      <w:szCs w:val="16"/>
    </w:rPr>
  </w:style>
  <w:style w:type="character" w:customStyle="1" w:styleId="BalloonTextChar">
    <w:name w:val="Balloon Text Char"/>
    <w:link w:val="BalloonText"/>
    <w:rsid w:val="00784E32"/>
    <w:rPr>
      <w:rFonts w:ascii="Tahoma" w:hAnsi="Tahoma" w:cs="Tahoma"/>
      <w:sz w:val="16"/>
      <w:szCs w:val="16"/>
      <w:lang w:eastAsia="en-US"/>
    </w:rPr>
  </w:style>
  <w:style w:type="paragraph" w:styleId="ListParagraph">
    <w:name w:val="List Paragraph"/>
    <w:basedOn w:val="Normal"/>
    <w:uiPriority w:val="34"/>
    <w:qFormat/>
    <w:rsid w:val="00A6724C"/>
    <w:pPr>
      <w:ind w:left="720"/>
    </w:pPr>
    <w:rPr>
      <w:rFonts w:ascii="Arial" w:eastAsia="Calibri" w:hAnsi="Arial"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1242</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Council Tax</vt:lpstr>
    </vt:vector>
  </TitlesOfParts>
  <Company>Harrow Council</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dc:title>
  <dc:creator>HShah</dc:creator>
  <cp:lastModifiedBy>Steve Tingle</cp:lastModifiedBy>
  <cp:revision>5</cp:revision>
  <cp:lastPrinted>2015-07-02T14:52:00Z</cp:lastPrinted>
  <dcterms:created xsi:type="dcterms:W3CDTF">2015-10-27T15:22:00Z</dcterms:created>
  <dcterms:modified xsi:type="dcterms:W3CDTF">2015-10-27T16:17:00Z</dcterms:modified>
</cp:coreProperties>
</file>